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D52D" w14:textId="77777777" w:rsidR="005C4BFE" w:rsidRPr="009306EA" w:rsidRDefault="005C4BFE" w:rsidP="005C4BFE">
      <w:pPr>
        <w:jc w:val="center"/>
        <w:rPr>
          <w:b/>
          <w:color w:val="002776" w:themeColor="text2"/>
          <w:sz w:val="20"/>
          <w:szCs w:val="20"/>
          <w:lang w:val="sk-SK"/>
        </w:rPr>
      </w:pPr>
      <w:bookmarkStart w:id="0" w:name="_GoBack"/>
      <w:bookmarkEnd w:id="0"/>
    </w:p>
    <w:p w14:paraId="382E746B" w14:textId="627102C9" w:rsidR="006F71E5" w:rsidRPr="005C4BFE" w:rsidRDefault="001B75B2" w:rsidP="005C4BFE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5C4BFE">
        <w:rPr>
          <w:b/>
          <w:color w:val="002776" w:themeColor="text2"/>
          <w:sz w:val="24"/>
          <w:szCs w:val="16"/>
          <w:lang w:val="sk-SK"/>
        </w:rPr>
        <w:t>Podmienky oprávnenosti výdavkov</w:t>
      </w:r>
    </w:p>
    <w:p w14:paraId="6935079B" w14:textId="77777777" w:rsidR="001B75B2" w:rsidRDefault="001B75B2" w:rsidP="006F71E5">
      <w:pPr>
        <w:rPr>
          <w:b/>
          <w:sz w:val="24"/>
          <w:szCs w:val="16"/>
          <w:lang w:val="sk-SK"/>
        </w:rPr>
      </w:pPr>
    </w:p>
    <w:tbl>
      <w:tblPr>
        <w:tblStyle w:val="Mriekatabuky"/>
        <w:tblW w:w="9809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417"/>
        <w:gridCol w:w="3456"/>
        <w:gridCol w:w="4057"/>
      </w:tblGrid>
      <w:tr w:rsidR="00F93B9A" w:rsidRPr="001B75B2" w14:paraId="5EDFF65F" w14:textId="77777777" w:rsidTr="005C4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shd w:val="clear" w:color="auto" w:fill="4F81BD"/>
            <w:vAlign w:val="center"/>
          </w:tcPr>
          <w:p w14:paraId="3271C43D" w14:textId="77777777" w:rsidR="00F93B9A" w:rsidRPr="001B75B2" w:rsidRDefault="00F93B9A" w:rsidP="006F71E5">
            <w:pPr>
              <w:rPr>
                <w:sz w:val="18"/>
                <w:szCs w:val="18"/>
                <w:lang w:val="sk-SK"/>
              </w:rPr>
            </w:pPr>
            <w:r w:rsidRPr="001B75B2">
              <w:rPr>
                <w:sz w:val="18"/>
                <w:szCs w:val="18"/>
                <w:lang w:val="sk-SK"/>
              </w:rPr>
              <w:t>Trieda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51822676" w14:textId="77777777" w:rsidR="00F93B9A" w:rsidRPr="001B75B2" w:rsidRDefault="00F93B9A" w:rsidP="001B75B2">
            <w:pPr>
              <w:ind w:left="-416" w:firstLine="4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1B75B2">
              <w:rPr>
                <w:sz w:val="18"/>
                <w:szCs w:val="18"/>
                <w:lang w:val="sk-SK"/>
              </w:rPr>
              <w:t>Skupina</w:t>
            </w:r>
          </w:p>
        </w:tc>
        <w:tc>
          <w:tcPr>
            <w:tcW w:w="3456" w:type="dxa"/>
            <w:shd w:val="clear" w:color="auto" w:fill="4F81BD"/>
            <w:vAlign w:val="center"/>
          </w:tcPr>
          <w:p w14:paraId="090A4F97" w14:textId="77777777" w:rsidR="00F93B9A" w:rsidRPr="001B75B2" w:rsidRDefault="00F93B9A" w:rsidP="006F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1B75B2">
              <w:rPr>
                <w:sz w:val="18"/>
                <w:szCs w:val="18"/>
                <w:lang w:val="sk-SK"/>
              </w:rPr>
              <w:t>Oprávnené výdavky</w:t>
            </w:r>
          </w:p>
        </w:tc>
        <w:tc>
          <w:tcPr>
            <w:tcW w:w="4057" w:type="dxa"/>
            <w:shd w:val="clear" w:color="auto" w:fill="4F81BD"/>
            <w:vAlign w:val="center"/>
          </w:tcPr>
          <w:p w14:paraId="6B9C1BB6" w14:textId="77777777" w:rsidR="00F93B9A" w:rsidRPr="001B75B2" w:rsidRDefault="00F93B9A" w:rsidP="006F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Špecifikácia oprávnenosti a l</w:t>
            </w:r>
            <w:r w:rsidRPr="001B75B2">
              <w:rPr>
                <w:sz w:val="18"/>
                <w:szCs w:val="18"/>
                <w:lang w:val="sk-SK"/>
              </w:rPr>
              <w:t>imity výdavkov</w:t>
            </w:r>
          </w:p>
        </w:tc>
      </w:tr>
      <w:tr w:rsidR="00D1672E" w:rsidRPr="001B75B2" w14:paraId="573C204B" w14:textId="77777777" w:rsidTr="00723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Merge w:val="restart"/>
          </w:tcPr>
          <w:p w14:paraId="196DA392" w14:textId="72C0C7D7" w:rsidR="00D1672E" w:rsidRPr="001B75B2" w:rsidRDefault="00D1672E" w:rsidP="0064668B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02 – Dlhodobý hmotný majetok</w:t>
            </w:r>
          </w:p>
        </w:tc>
        <w:tc>
          <w:tcPr>
            <w:tcW w:w="1417" w:type="dxa"/>
          </w:tcPr>
          <w:p w14:paraId="1E28E059" w14:textId="77777777" w:rsidR="00D1672E" w:rsidRPr="001B75B2" w:rsidRDefault="00D1672E" w:rsidP="001B75B2">
            <w:pPr>
              <w:ind w:left="102" w:hanging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021 - Stavby</w:t>
            </w:r>
          </w:p>
        </w:tc>
        <w:tc>
          <w:tcPr>
            <w:tcW w:w="3456" w:type="dxa"/>
          </w:tcPr>
          <w:p w14:paraId="213374AD" w14:textId="2C66ECA9" w:rsidR="00D1672E" w:rsidRPr="00F52F24" w:rsidRDefault="00D1672E" w:rsidP="00F52F24">
            <w:pPr>
              <w:pStyle w:val="Odsekzoznamu"/>
              <w:numPr>
                <w:ilvl w:val="0"/>
                <w:numId w:val="38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F52F24">
              <w:rPr>
                <w:sz w:val="18"/>
                <w:szCs w:val="18"/>
                <w:lang w:val="sk-SK"/>
              </w:rPr>
              <w:t xml:space="preserve">realizácia nových </w:t>
            </w:r>
            <w:r w:rsidR="00C73E05">
              <w:rPr>
                <w:sz w:val="18"/>
                <w:szCs w:val="18"/>
                <w:lang w:val="sk-SK"/>
              </w:rPr>
              <w:t xml:space="preserve">objektov </w:t>
            </w:r>
            <w:r w:rsidRPr="00F52F24">
              <w:rPr>
                <w:sz w:val="18"/>
                <w:szCs w:val="18"/>
                <w:lang w:val="sk-SK"/>
              </w:rPr>
              <w:t>MŠ,</w:t>
            </w:r>
          </w:p>
          <w:p w14:paraId="4E0FC91E" w14:textId="0C483AD4" w:rsidR="00D1672E" w:rsidRPr="00F52F24" w:rsidRDefault="00D1672E" w:rsidP="00F52F24">
            <w:pPr>
              <w:pStyle w:val="Odsekzoznamu"/>
              <w:numPr>
                <w:ilvl w:val="0"/>
                <w:numId w:val="38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F52F24">
              <w:rPr>
                <w:sz w:val="18"/>
                <w:szCs w:val="18"/>
                <w:lang w:val="sk-SK"/>
              </w:rPr>
              <w:t>rekonštrukcia a modernizácia budov MŠ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4EA36D8C" w14:textId="2FCA9968" w:rsidR="00D1672E" w:rsidRDefault="00D1672E" w:rsidP="00F52F24">
            <w:pPr>
              <w:pStyle w:val="Odsekzoznamu"/>
              <w:numPr>
                <w:ilvl w:val="0"/>
                <w:numId w:val="38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F52F24">
              <w:rPr>
                <w:sz w:val="18"/>
                <w:szCs w:val="18"/>
                <w:lang w:val="sk-SK"/>
              </w:rPr>
              <w:t>prístavby, nadstavby, stavebné úpravy MŠ</w:t>
            </w:r>
          </w:p>
          <w:p w14:paraId="2B4EB893" w14:textId="45F724A4" w:rsidR="00CF7447" w:rsidRPr="00F52F24" w:rsidRDefault="00CF7447" w:rsidP="00F52F24">
            <w:pPr>
              <w:pStyle w:val="Odsekzoznamu"/>
              <w:numPr>
                <w:ilvl w:val="0"/>
                <w:numId w:val="38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výstavba, rekonštrukcia a modernizácia školskej kuchyne, jedálne, výdajnej školskej jedálne vrátane zariadenia</w:t>
            </w:r>
          </w:p>
          <w:p w14:paraId="5257C88A" w14:textId="2E05CE5D" w:rsidR="00D1672E" w:rsidRDefault="00D1672E" w:rsidP="00F52F24">
            <w:pPr>
              <w:pStyle w:val="Odsekzoznamu"/>
              <w:numPr>
                <w:ilvl w:val="0"/>
                <w:numId w:val="38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stavebno-technické úpravy areálu MŠ vrátane detských ihrísk, športových zariadení pre deti – uzavretých aj otvorených s možnosťou celoročnej prevádzky, záhrad vrátane prvkov inkluzívneho vzdelávania,</w:t>
            </w:r>
            <w:r w:rsidR="008E0974">
              <w:rPr>
                <w:sz w:val="18"/>
                <w:szCs w:val="18"/>
                <w:lang w:val="sk-SK"/>
              </w:rPr>
              <w:t xml:space="preserve"> sadové úpravy a</w:t>
            </w:r>
            <w:r w:rsidR="003D2225">
              <w:rPr>
                <w:sz w:val="18"/>
                <w:szCs w:val="18"/>
                <w:lang w:val="sk-SK"/>
              </w:rPr>
              <w:t> </w:t>
            </w:r>
            <w:r w:rsidR="008E0974">
              <w:rPr>
                <w:sz w:val="18"/>
                <w:szCs w:val="18"/>
                <w:lang w:val="sk-SK"/>
              </w:rPr>
              <w:t>zeleň</w:t>
            </w:r>
          </w:p>
          <w:p w14:paraId="3559F633" w14:textId="580F75B5" w:rsidR="00D1672E" w:rsidRPr="00F52F24" w:rsidRDefault="00D1672E" w:rsidP="008D4113">
            <w:pPr>
              <w:pStyle w:val="Odsekzoznamu"/>
              <w:numPr>
                <w:ilvl w:val="0"/>
                <w:numId w:val="38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ako doplnková aktivita k stavebným úpravám budov: </w:t>
            </w:r>
            <w:r w:rsidRPr="008D4113">
              <w:rPr>
                <w:sz w:val="18"/>
                <w:szCs w:val="18"/>
                <w:lang w:val="sk-SK"/>
              </w:rPr>
              <w:t>rekonštrukcia stavieb so zameraním na zvyšovanie energetickej hospodárnosti budov – 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</w:t>
            </w:r>
            <w:r>
              <w:rPr>
                <w:sz w:val="18"/>
                <w:szCs w:val="18"/>
                <w:lang w:val="sk-SK"/>
              </w:rPr>
              <w:t>.</w:t>
            </w:r>
            <w:r w:rsidRPr="008D4113">
              <w:rPr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57" w:type="dxa"/>
          </w:tcPr>
          <w:p w14:paraId="236235AB" w14:textId="0378770B" w:rsidR="006E46FD" w:rsidRDefault="006E46FD" w:rsidP="006E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Celkový limit na opatrenia na zvyšovanie energetickej efektívnosti  do výšky 40% z </w:t>
            </w:r>
            <w:r w:rsidR="0048504E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celkových</w:t>
            </w:r>
            <w:r w:rsidRPr="00F93B9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 </w:t>
            </w:r>
            <w:r w:rsidR="00C766F4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oprávnených </w:t>
            </w:r>
            <w:r w:rsidR="00D93275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výdavkov na </w:t>
            </w:r>
            <w:r w:rsidRPr="00F93B9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stavebn</w:t>
            </w:r>
            <w:r w:rsidR="00D93275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é</w:t>
            </w:r>
            <w:r w:rsidRPr="00F93B9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 prác</w:t>
            </w:r>
            <w:r w:rsidR="00D93275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.</w:t>
            </w:r>
          </w:p>
          <w:p w14:paraId="09B1B4F8" w14:textId="77777777" w:rsidR="00F77A7D" w:rsidRDefault="00F77A7D" w:rsidP="006E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</w:pPr>
          </w:p>
          <w:p w14:paraId="032FAE3E" w14:textId="53B70E1C" w:rsidR="00F77A7D" w:rsidRPr="001B75B2" w:rsidRDefault="00F77A7D" w:rsidP="006E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rFonts w:cs="Calibri"/>
                <w:bCs/>
                <w:szCs w:val="19"/>
                <w:lang w:val="sk-SK"/>
              </w:rPr>
              <w:t xml:space="preserve">V </w:t>
            </w:r>
            <w:r w:rsidRPr="00F77A7D">
              <w:rPr>
                <w:sz w:val="18"/>
                <w:szCs w:val="18"/>
                <w:lang w:val="sk-SK"/>
              </w:rPr>
              <w:t>prípade ak MŠ užíva objekt s iným subjektom v pôsobnosti žiadateľa, resp. iným subjektom (</w:t>
            </w:r>
            <w:r>
              <w:rPr>
                <w:sz w:val="18"/>
                <w:szCs w:val="18"/>
                <w:lang w:val="sk-SK"/>
              </w:rPr>
              <w:t xml:space="preserve">napr. </w:t>
            </w:r>
            <w:r w:rsidRPr="00F77A7D">
              <w:rPr>
                <w:sz w:val="18"/>
                <w:szCs w:val="18"/>
                <w:lang w:val="sk-SK"/>
              </w:rPr>
              <w:t>spojená MŠ a ZŠ), oprávnené výdavky týkajúce sa spoločných priestorov budú vypočítané pomernou časťou celkovej podlahovej plochy objektu (mimo spoločných priestorov) voči celkovej podlahovej ploche priestorov (mimo spoločných priestorov), ktoré využíva MS</w:t>
            </w:r>
            <w:r>
              <w:rPr>
                <w:sz w:val="18"/>
                <w:szCs w:val="18"/>
                <w:lang w:val="sk-SK"/>
              </w:rPr>
              <w:t>.</w:t>
            </w:r>
            <w:r w:rsidRPr="00F77A7D">
              <w:rPr>
                <w:sz w:val="18"/>
                <w:szCs w:val="18"/>
                <w:lang w:val="sk-SK"/>
              </w:rPr>
              <w:t xml:space="preserve"> </w:t>
            </w:r>
          </w:p>
        </w:tc>
      </w:tr>
      <w:tr w:rsidR="00D1672E" w:rsidRPr="001B75B2" w14:paraId="096B801A" w14:textId="77777777" w:rsidTr="000B6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Merge/>
          </w:tcPr>
          <w:p w14:paraId="5676504E" w14:textId="77777777" w:rsidR="00D1672E" w:rsidRPr="001B75B2" w:rsidRDefault="00D1672E" w:rsidP="006F71E5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</w:tcPr>
          <w:p w14:paraId="13F3B12E" w14:textId="77777777" w:rsidR="00D1672E" w:rsidRPr="001B75B2" w:rsidRDefault="00D1672E" w:rsidP="006F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022 – Samostatné hnuteľné veci a súbory hnuteľných vecí</w:t>
            </w:r>
          </w:p>
        </w:tc>
        <w:tc>
          <w:tcPr>
            <w:tcW w:w="3456" w:type="dxa"/>
          </w:tcPr>
          <w:p w14:paraId="06E0FA52" w14:textId="5ED0FA0F" w:rsidR="00D1672E" w:rsidRDefault="00D1672E" w:rsidP="00F52F24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F52F24">
              <w:rPr>
                <w:sz w:val="18"/>
                <w:szCs w:val="18"/>
                <w:lang w:val="sk-SK"/>
              </w:rPr>
              <w:t>nákup interiérového</w:t>
            </w:r>
            <w:r w:rsidR="00A050BE">
              <w:rPr>
                <w:sz w:val="18"/>
                <w:szCs w:val="18"/>
                <w:lang w:val="sk-SK"/>
              </w:rPr>
              <w:t xml:space="preserve"> a exteriérového</w:t>
            </w:r>
            <w:r w:rsidRPr="00F52F24">
              <w:rPr>
                <w:sz w:val="18"/>
                <w:szCs w:val="18"/>
                <w:lang w:val="sk-SK"/>
              </w:rPr>
              <w:t xml:space="preserve"> vybavenia MŚ</w:t>
            </w:r>
          </w:p>
          <w:p w14:paraId="684F8031" w14:textId="77777777" w:rsidR="003D2225" w:rsidRPr="00F52F24" w:rsidRDefault="00EF6270" w:rsidP="003D2225">
            <w:pPr>
              <w:pStyle w:val="Odsekzoznamu"/>
              <w:numPr>
                <w:ilvl w:val="0"/>
                <w:numId w:val="38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vybavenie a z</w:t>
            </w:r>
            <w:r w:rsidR="003D2225">
              <w:rPr>
                <w:sz w:val="18"/>
                <w:szCs w:val="18"/>
                <w:lang w:val="sk-SK"/>
              </w:rPr>
              <w:t>a</w:t>
            </w:r>
            <w:r>
              <w:rPr>
                <w:sz w:val="18"/>
                <w:szCs w:val="18"/>
                <w:lang w:val="sk-SK"/>
              </w:rPr>
              <w:t>riadenie školskej kuchyne</w:t>
            </w:r>
            <w:r w:rsidR="003D2225">
              <w:rPr>
                <w:sz w:val="18"/>
                <w:szCs w:val="18"/>
                <w:lang w:val="sk-SK"/>
              </w:rPr>
              <w:t>,</w:t>
            </w:r>
            <w:r>
              <w:rPr>
                <w:sz w:val="18"/>
                <w:szCs w:val="18"/>
                <w:lang w:val="sk-SK"/>
              </w:rPr>
              <w:t xml:space="preserve"> jedálne</w:t>
            </w:r>
            <w:r w:rsidR="003D2225">
              <w:rPr>
                <w:sz w:val="18"/>
                <w:szCs w:val="18"/>
                <w:lang w:val="sk-SK"/>
              </w:rPr>
              <w:t>, výdajnej školskej jedálne</w:t>
            </w:r>
            <w:r w:rsidR="003D2225" w:rsidRPr="00F52F24">
              <w:rPr>
                <w:sz w:val="18"/>
                <w:szCs w:val="18"/>
                <w:lang w:val="sk-SK"/>
              </w:rPr>
              <w:t>,</w:t>
            </w:r>
            <w:r w:rsidR="003D2225">
              <w:rPr>
                <w:sz w:val="18"/>
                <w:szCs w:val="18"/>
                <w:lang w:val="sk-SK"/>
              </w:rPr>
              <w:t xml:space="preserve"> a pod.</w:t>
            </w:r>
            <w:r w:rsidR="003D2225" w:rsidRPr="00F52F24">
              <w:rPr>
                <w:sz w:val="18"/>
                <w:szCs w:val="18"/>
                <w:lang w:val="sk-SK"/>
              </w:rPr>
              <w:t xml:space="preserve"> </w:t>
            </w:r>
          </w:p>
          <w:p w14:paraId="7FEFCFA3" w14:textId="0D1498A8" w:rsidR="00D1672E" w:rsidRPr="00F52F24" w:rsidRDefault="00D1672E" w:rsidP="00F52F24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F52F24">
              <w:rPr>
                <w:sz w:val="18"/>
                <w:szCs w:val="18"/>
                <w:lang w:val="sk-SK"/>
              </w:rPr>
              <w:t xml:space="preserve">nákup výpočtovej techniky </w:t>
            </w:r>
          </w:p>
          <w:p w14:paraId="743F8ECA" w14:textId="77777777" w:rsidR="00D1672E" w:rsidRPr="001B75B2" w:rsidRDefault="00D1672E" w:rsidP="00CB1C18">
            <w:pPr>
              <w:pStyle w:val="Odsekzoznamu"/>
              <w:ind w:lef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</w:tc>
        <w:tc>
          <w:tcPr>
            <w:tcW w:w="4057" w:type="dxa"/>
          </w:tcPr>
          <w:p w14:paraId="4555D8D0" w14:textId="5A3DAEC6" w:rsidR="00D1672E" w:rsidRPr="001B75B2" w:rsidRDefault="00D1672E" w:rsidP="00B36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</w:tc>
      </w:tr>
      <w:tr w:rsidR="00D1672E" w:rsidRPr="001B75B2" w14:paraId="05A083E3" w14:textId="77777777" w:rsidTr="009306EA">
        <w:trPr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7C1E256E" w14:textId="77777777" w:rsidR="00D1672E" w:rsidRDefault="00D1672E" w:rsidP="006F71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11 – Zásoby</w:t>
            </w:r>
          </w:p>
        </w:tc>
        <w:tc>
          <w:tcPr>
            <w:tcW w:w="1417" w:type="dxa"/>
          </w:tcPr>
          <w:p w14:paraId="2B8EF1CF" w14:textId="0551A1E7" w:rsidR="00D1672E" w:rsidRDefault="00D1672E" w:rsidP="006F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112 – Zásoby</w:t>
            </w:r>
          </w:p>
        </w:tc>
        <w:tc>
          <w:tcPr>
            <w:tcW w:w="3456" w:type="dxa"/>
          </w:tcPr>
          <w:p w14:paraId="27BCDA89" w14:textId="77777777" w:rsidR="00D1672E" w:rsidRDefault="00D1672E" w:rsidP="003D2225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prevádzkové stroje, prístroje, zariadenia</w:t>
            </w:r>
          </w:p>
          <w:p w14:paraId="3031D71D" w14:textId="77777777" w:rsidR="003D2225" w:rsidRPr="00F52F24" w:rsidRDefault="003D2225" w:rsidP="003D2225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vybavenie a zariadenie školskej kuchyne, jedálne, výdajnej školskej jedálne</w:t>
            </w:r>
            <w:r w:rsidRPr="00F52F24">
              <w:rPr>
                <w:sz w:val="18"/>
                <w:szCs w:val="18"/>
                <w:lang w:val="sk-SK"/>
              </w:rPr>
              <w:t>,</w:t>
            </w:r>
            <w:r>
              <w:rPr>
                <w:sz w:val="18"/>
                <w:szCs w:val="18"/>
                <w:lang w:val="sk-SK"/>
              </w:rPr>
              <w:t xml:space="preserve"> a pod.</w:t>
            </w:r>
            <w:r w:rsidRPr="00F52F24">
              <w:rPr>
                <w:sz w:val="18"/>
                <w:szCs w:val="18"/>
                <w:lang w:val="sk-SK"/>
              </w:rPr>
              <w:t xml:space="preserve"> </w:t>
            </w:r>
          </w:p>
          <w:p w14:paraId="0C4424CF" w14:textId="77777777" w:rsidR="00D1672E" w:rsidRDefault="00D1672E" w:rsidP="003D2225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telekomunikačná a výpočtová technika</w:t>
            </w:r>
          </w:p>
          <w:p w14:paraId="4383D97C" w14:textId="77777777" w:rsidR="00D1672E" w:rsidRDefault="00D1672E" w:rsidP="003D2225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interiérové vybavenie</w:t>
            </w:r>
          </w:p>
          <w:p w14:paraId="25DF6DFD" w14:textId="4DB34528" w:rsidR="00D1672E" w:rsidRPr="00F52F24" w:rsidRDefault="00D1672E" w:rsidP="003D2225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knihy, učebni</w:t>
            </w:r>
            <w:r w:rsidR="009306EA">
              <w:rPr>
                <w:sz w:val="18"/>
                <w:szCs w:val="18"/>
                <w:lang w:val="sk-SK"/>
              </w:rPr>
              <w:t>ce, učebné</w:t>
            </w:r>
            <w:r w:rsidR="002E681A">
              <w:rPr>
                <w:sz w:val="18"/>
                <w:szCs w:val="18"/>
                <w:lang w:val="sk-SK"/>
              </w:rPr>
              <w:t xml:space="preserve"> a</w:t>
            </w:r>
            <w:r w:rsidR="009306EA">
              <w:rPr>
                <w:sz w:val="18"/>
                <w:szCs w:val="18"/>
                <w:lang w:val="sk-SK"/>
              </w:rPr>
              <w:t xml:space="preserve"> kompenzačné pomôcky</w:t>
            </w:r>
          </w:p>
        </w:tc>
        <w:tc>
          <w:tcPr>
            <w:tcW w:w="4057" w:type="dxa"/>
          </w:tcPr>
          <w:p w14:paraId="078B49F2" w14:textId="0B66BCF9" w:rsidR="00D1672E" w:rsidRDefault="00D1672E" w:rsidP="0027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</w:tc>
      </w:tr>
      <w:tr w:rsidR="00D1672E" w:rsidRPr="001B75B2" w14:paraId="032A78FC" w14:textId="77777777" w:rsidTr="00264E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79F04D10" w14:textId="343B48D5" w:rsidR="00D1672E" w:rsidRPr="001B75B2" w:rsidRDefault="00D1672E" w:rsidP="006F71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51 – Služby</w:t>
            </w:r>
          </w:p>
        </w:tc>
        <w:tc>
          <w:tcPr>
            <w:tcW w:w="1417" w:type="dxa"/>
          </w:tcPr>
          <w:p w14:paraId="12C96875" w14:textId="77777777" w:rsidR="00D1672E" w:rsidRPr="001B75B2" w:rsidRDefault="00D1672E" w:rsidP="006F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518 – Ostatné služby</w:t>
            </w:r>
          </w:p>
        </w:tc>
        <w:tc>
          <w:tcPr>
            <w:tcW w:w="3456" w:type="dxa"/>
          </w:tcPr>
          <w:p w14:paraId="53B91DE7" w14:textId="367F0DA0" w:rsidR="00D1672E" w:rsidRPr="00F52F24" w:rsidRDefault="00D1672E" w:rsidP="00F52F24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F52F24">
              <w:rPr>
                <w:sz w:val="18"/>
                <w:szCs w:val="18"/>
                <w:lang w:val="sk-SK"/>
              </w:rPr>
              <w:t>projektová dokumentácia</w:t>
            </w:r>
          </w:p>
          <w:p w14:paraId="1CFFBDE4" w14:textId="77777777" w:rsidR="00D1672E" w:rsidRDefault="00D1672E" w:rsidP="00F52F24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F52F24">
              <w:rPr>
                <w:sz w:val="18"/>
                <w:szCs w:val="18"/>
                <w:lang w:val="sk-SK"/>
              </w:rPr>
              <w:t>stavebný dozor</w:t>
            </w:r>
          </w:p>
          <w:p w14:paraId="44DFAAC9" w14:textId="53A7C725" w:rsidR="005B63F4" w:rsidRDefault="005B63F4" w:rsidP="00F52F24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energetický certifikát</w:t>
            </w:r>
          </w:p>
          <w:p w14:paraId="2FF6D743" w14:textId="77777777" w:rsidR="00D1672E" w:rsidRDefault="00D1672E" w:rsidP="00F52F24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softvér (nehmotný majetok nezaradený ako dlhodobý nehmotný majetok)</w:t>
            </w:r>
          </w:p>
          <w:p w14:paraId="7FBD191B" w14:textId="2682CC6C" w:rsidR="00D96630" w:rsidRPr="00F52F24" w:rsidRDefault="00D96630" w:rsidP="00F52F24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7D6B28">
              <w:rPr>
                <w:rFonts w:asciiTheme="majorHAnsi" w:hAnsiTheme="majorHAnsi" w:cstheme="majorHAnsi"/>
                <w:szCs w:val="19"/>
                <w:lang w:val="sk-SK"/>
              </w:rPr>
              <w:t>propagácia, reklama a inzercia – služby spojené so zabezpečením informovanosti a</w:t>
            </w:r>
            <w:r>
              <w:rPr>
                <w:rFonts w:asciiTheme="majorHAnsi" w:hAnsiTheme="majorHAnsi" w:cstheme="majorHAnsi"/>
                <w:szCs w:val="19"/>
                <w:lang w:val="sk-SK"/>
              </w:rPr>
              <w:t> </w:t>
            </w:r>
            <w:r w:rsidRPr="007D6B28">
              <w:rPr>
                <w:rFonts w:asciiTheme="majorHAnsi" w:hAnsiTheme="majorHAnsi" w:cstheme="majorHAnsi"/>
                <w:szCs w:val="19"/>
                <w:lang w:val="sk-SK"/>
              </w:rPr>
              <w:t>komunikácie</w:t>
            </w:r>
          </w:p>
        </w:tc>
        <w:tc>
          <w:tcPr>
            <w:tcW w:w="4057" w:type="dxa"/>
          </w:tcPr>
          <w:p w14:paraId="298AD1FF" w14:textId="54F90969" w:rsidR="00D1672E" w:rsidRDefault="00D1672E" w:rsidP="00D1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Limit </w:t>
            </w:r>
            <w:r w:rsidR="001754E3">
              <w:rPr>
                <w:sz w:val="18"/>
                <w:szCs w:val="18"/>
                <w:lang w:val="sk-SK"/>
              </w:rPr>
              <w:t xml:space="preserve">pre projektové </w:t>
            </w:r>
            <w:r w:rsidR="003A7D31">
              <w:rPr>
                <w:sz w:val="18"/>
                <w:szCs w:val="18"/>
                <w:lang w:val="sk-SK"/>
              </w:rPr>
              <w:t xml:space="preserve">a </w:t>
            </w:r>
            <w:r>
              <w:rPr>
                <w:sz w:val="18"/>
                <w:szCs w:val="18"/>
                <w:lang w:val="sk-SK"/>
              </w:rPr>
              <w:t>inžinierske práce</w:t>
            </w:r>
            <w:r w:rsidR="003A7D31">
              <w:rPr>
                <w:sz w:val="18"/>
                <w:szCs w:val="18"/>
                <w:lang w:val="sk-SK"/>
              </w:rPr>
              <w:t xml:space="preserve"> (projektová dokumentácia</w:t>
            </w:r>
            <w:r w:rsidR="00D97825">
              <w:rPr>
                <w:sz w:val="18"/>
                <w:szCs w:val="18"/>
                <w:lang w:val="sk-SK"/>
              </w:rPr>
              <w:t xml:space="preserve"> vrátane energetického auditu a tepelnotechnického posudku,</w:t>
            </w:r>
            <w:r w:rsidR="003A7D31">
              <w:rPr>
                <w:sz w:val="18"/>
                <w:szCs w:val="18"/>
                <w:lang w:val="sk-SK"/>
              </w:rPr>
              <w:t xml:space="preserve"> autorský dozor, inžinierska činnosť)</w:t>
            </w:r>
            <w:r>
              <w:rPr>
                <w:sz w:val="18"/>
                <w:szCs w:val="18"/>
                <w:lang w:val="sk-SK"/>
              </w:rPr>
              <w:t>:</w:t>
            </w:r>
          </w:p>
          <w:p w14:paraId="5E64BF52" w14:textId="77777777" w:rsidR="00AA50A2" w:rsidRDefault="00AA50A2" w:rsidP="00D1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tbl>
            <w:tblPr>
              <w:tblStyle w:val="Mriekatabuky"/>
              <w:tblW w:w="0" w:type="auto"/>
              <w:tblBorders>
                <w:top w:val="single" w:sz="4" w:space="0" w:color="72C7E7"/>
                <w:insideV w:val="single" w:sz="4" w:space="0" w:color="72C7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4"/>
              <w:gridCol w:w="1047"/>
            </w:tblGrid>
            <w:tr w:rsidR="00D1672E" w14:paraId="5FCCC625" w14:textId="77777777" w:rsidTr="00AA50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1FBC52DB" w14:textId="7A1EE2F3" w:rsidR="00D1672E" w:rsidRPr="00AA50A2" w:rsidRDefault="00887FA3" w:rsidP="00887FA3">
                  <w:pPr>
                    <w:jc w:val="center"/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</w:pPr>
                  <w:r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>Celkové oprávnené výdavky na</w:t>
                  </w:r>
                  <w:r w:rsidR="00D1672E" w:rsidRPr="00AA50A2"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 xml:space="preserve"> stavebn</w:t>
                  </w:r>
                  <w:r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>é</w:t>
                  </w:r>
                  <w:r w:rsidR="00D1672E" w:rsidRPr="00AA50A2"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 xml:space="preserve"> prác</w:t>
                  </w:r>
                  <w:r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>e</w:t>
                  </w:r>
                  <w:r w:rsidR="00AA50A2" w:rsidRPr="00AA50A2"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 xml:space="preserve"> (EUR)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14:paraId="16C35CD3" w14:textId="2CA14AAA" w:rsidR="00D1672E" w:rsidRPr="00AA50A2" w:rsidRDefault="00D1672E" w:rsidP="00AA50A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</w:pPr>
                  <w:r w:rsidRPr="00AA50A2"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>Limit</w:t>
                  </w:r>
                </w:p>
              </w:tc>
            </w:tr>
            <w:tr w:rsidR="00AA50A2" w14:paraId="4BCF3FF1" w14:textId="77777777" w:rsidTr="00AA50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4DDA5BD2" w14:textId="54A627FD" w:rsidR="00AA50A2" w:rsidRPr="00AA50A2" w:rsidRDefault="00AA50A2" w:rsidP="00AA50A2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sk-SK"/>
                    </w:rPr>
                  </w:pPr>
                  <w:r w:rsidRPr="00AA50A2">
                    <w:rPr>
                      <w:rFonts w:asciiTheme="minorHAnsi" w:hAnsiTheme="minorHAnsi" w:cstheme="minorHAnsi"/>
                      <w:sz w:val="18"/>
                      <w:szCs w:val="18"/>
                      <w:lang w:eastAsia="cs-CZ"/>
                    </w:rPr>
                    <w:t>do 164 999,99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14:paraId="4D017416" w14:textId="784AF4FE" w:rsidR="00AA50A2" w:rsidRPr="00D1672E" w:rsidRDefault="00AA50A2" w:rsidP="00AA50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sk-SK"/>
                    </w:rPr>
                  </w:pPr>
                  <w:r>
                    <w:rPr>
                      <w:sz w:val="18"/>
                      <w:szCs w:val="18"/>
                      <w:lang w:val="sk-SK"/>
                    </w:rPr>
                    <w:t>5,00%</w:t>
                  </w:r>
                </w:p>
              </w:tc>
            </w:tr>
            <w:tr w:rsidR="00AA50A2" w14:paraId="661DB9FE" w14:textId="77777777" w:rsidTr="00AA50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68D4D31F" w14:textId="0558FE43" w:rsidR="00AA50A2" w:rsidRPr="00AA50A2" w:rsidRDefault="00AA50A2" w:rsidP="00AA50A2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sk-SK"/>
                    </w:rPr>
                  </w:pPr>
                  <w:r w:rsidRPr="00AA50A2">
                    <w:rPr>
                      <w:rFonts w:asciiTheme="minorHAnsi" w:hAnsiTheme="minorHAnsi" w:cstheme="minorHAnsi"/>
                      <w:sz w:val="18"/>
                      <w:szCs w:val="18"/>
                      <w:lang w:eastAsia="cs-CZ"/>
                    </w:rPr>
                    <w:t>od 165 000,00 do 331 999,99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14:paraId="47B42C8B" w14:textId="6EA5BB84" w:rsidR="00AA50A2" w:rsidRPr="00D1672E" w:rsidRDefault="00AA50A2" w:rsidP="00AA50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sk-SK"/>
                    </w:rPr>
                  </w:pPr>
                  <w:r>
                    <w:rPr>
                      <w:sz w:val="18"/>
                      <w:szCs w:val="18"/>
                      <w:lang w:val="sk-SK"/>
                    </w:rPr>
                    <w:t>4,00%</w:t>
                  </w:r>
                </w:p>
              </w:tc>
            </w:tr>
            <w:tr w:rsidR="00AA50A2" w14:paraId="200439A9" w14:textId="77777777" w:rsidTr="00AA50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1D753BE3" w14:textId="421F12A7" w:rsidR="00AA50A2" w:rsidRPr="00AA50A2" w:rsidRDefault="00AA50A2" w:rsidP="00AA50A2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sk-SK"/>
                    </w:rPr>
                  </w:pPr>
                  <w:r w:rsidRPr="00AA50A2">
                    <w:rPr>
                      <w:rFonts w:asciiTheme="minorHAnsi" w:hAnsiTheme="minorHAnsi" w:cstheme="minorHAnsi"/>
                      <w:sz w:val="18"/>
                      <w:szCs w:val="18"/>
                      <w:lang w:eastAsia="cs-CZ"/>
                    </w:rPr>
                    <w:lastRenderedPageBreak/>
                    <w:t>od 332 000,00 do 663 999,99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14:paraId="35873B8C" w14:textId="6717B1E9" w:rsidR="00AA50A2" w:rsidRPr="00D1672E" w:rsidRDefault="00AA50A2" w:rsidP="00AA50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sk-SK"/>
                    </w:rPr>
                  </w:pPr>
                  <w:r>
                    <w:rPr>
                      <w:sz w:val="18"/>
                      <w:szCs w:val="18"/>
                      <w:lang w:val="sk-SK"/>
                    </w:rPr>
                    <w:t>3,00%</w:t>
                  </w:r>
                </w:p>
              </w:tc>
            </w:tr>
            <w:tr w:rsidR="00AA50A2" w14:paraId="41BD6AED" w14:textId="77777777" w:rsidTr="00AA50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5D24CD07" w14:textId="3C8CE542" w:rsidR="00AA50A2" w:rsidRPr="00AA50A2" w:rsidRDefault="00AA50A2" w:rsidP="001754E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sk-SK"/>
                    </w:rPr>
                  </w:pPr>
                  <w:r w:rsidRPr="00AA50A2">
                    <w:rPr>
                      <w:rFonts w:asciiTheme="minorHAnsi" w:hAnsiTheme="minorHAnsi" w:cstheme="minorHAnsi"/>
                      <w:sz w:val="18"/>
                      <w:szCs w:val="18"/>
                      <w:lang w:eastAsia="cs-CZ"/>
                    </w:rPr>
                    <w:t>od 664 000,00 do 1</w:t>
                  </w:r>
                  <w:r w:rsidR="001754E3">
                    <w:rPr>
                      <w:rFonts w:asciiTheme="minorHAnsi" w:hAnsiTheme="minorHAnsi" w:cstheme="minorHAnsi"/>
                      <w:sz w:val="18"/>
                      <w:szCs w:val="18"/>
                      <w:lang w:eastAsia="cs-CZ"/>
                    </w:rPr>
                    <w:t> 000 000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14:paraId="67DA6E11" w14:textId="13111455" w:rsidR="00AA50A2" w:rsidRPr="00D1672E" w:rsidRDefault="00AA50A2" w:rsidP="00AA50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sk-SK"/>
                    </w:rPr>
                  </w:pPr>
                  <w:r>
                    <w:rPr>
                      <w:sz w:val="18"/>
                      <w:szCs w:val="18"/>
                      <w:lang w:val="sk-SK"/>
                    </w:rPr>
                    <w:t>2,00%</w:t>
                  </w:r>
                </w:p>
              </w:tc>
            </w:tr>
          </w:tbl>
          <w:p w14:paraId="0ADAF493" w14:textId="77777777" w:rsidR="00D1672E" w:rsidRDefault="00D1672E" w:rsidP="0063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38F60CF1" w14:textId="068963C0" w:rsidR="00D1672E" w:rsidRPr="00CF67FF" w:rsidRDefault="00D1672E" w:rsidP="00F52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Limit</w:t>
            </w:r>
            <w:r w:rsidRPr="00F93B9A">
              <w:rPr>
                <w:sz w:val="18"/>
                <w:szCs w:val="18"/>
                <w:lang w:val="sk-SK"/>
              </w:rPr>
              <w:t xml:space="preserve"> pre cen</w:t>
            </w:r>
            <w:r>
              <w:rPr>
                <w:sz w:val="18"/>
                <w:szCs w:val="18"/>
                <w:lang w:val="sk-SK"/>
              </w:rPr>
              <w:t>u</w:t>
            </w:r>
            <w:r w:rsidRPr="00F93B9A">
              <w:rPr>
                <w:sz w:val="18"/>
                <w:szCs w:val="18"/>
                <w:lang w:val="sk-SK"/>
              </w:rPr>
              <w:t xml:space="preserve"> za výkon služieb stavebného dozor</w:t>
            </w:r>
            <w:r>
              <w:rPr>
                <w:sz w:val="18"/>
                <w:szCs w:val="18"/>
                <w:lang w:val="sk-SK"/>
              </w:rPr>
              <w:t xml:space="preserve">u </w:t>
            </w:r>
            <w:r w:rsidR="005B63F4">
              <w:rPr>
                <w:sz w:val="18"/>
                <w:szCs w:val="18"/>
                <w:lang w:val="sk-SK"/>
              </w:rPr>
              <w:t xml:space="preserve">a energetický certifikát po realizácii projektu </w:t>
            </w:r>
            <w:r w:rsidRPr="00F93B9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do </w:t>
            </w:r>
            <w:r w:rsidRPr="00CF67FF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výšky 2,0 % z </w:t>
            </w:r>
            <w:r w:rsidR="003933E3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celkových</w:t>
            </w:r>
            <w:r w:rsidRPr="00CF67FF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 </w:t>
            </w:r>
            <w:r w:rsidR="00A319B0" w:rsidRPr="00CF67FF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oprávnených </w:t>
            </w:r>
            <w:r w:rsidR="003933E3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výdavkov na </w:t>
            </w:r>
            <w:r w:rsidRPr="00CF67FF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stavebn</w:t>
            </w:r>
            <w:r w:rsidR="003933E3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é</w:t>
            </w:r>
            <w:r w:rsidRPr="00CF67FF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 prác</w:t>
            </w:r>
            <w:r w:rsidR="003933E3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e</w:t>
            </w:r>
            <w:r w:rsidR="003D0E24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.</w:t>
            </w:r>
          </w:p>
          <w:p w14:paraId="532E240E" w14:textId="77777777" w:rsidR="00D1672E" w:rsidRPr="00CF67FF" w:rsidRDefault="00D1672E" w:rsidP="00F9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62D0E693" w14:textId="5FC47FF6" w:rsidR="00D1672E" w:rsidRPr="001B75B2" w:rsidRDefault="00D1672E" w:rsidP="003D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CF67FF">
              <w:rPr>
                <w:sz w:val="18"/>
                <w:szCs w:val="18"/>
                <w:lang w:val="sk-SK"/>
              </w:rPr>
              <w:t>Celkový limit na nákup softvéru je 1000 EUR</w:t>
            </w:r>
            <w:r w:rsidR="00AA50A2">
              <w:rPr>
                <w:sz w:val="18"/>
                <w:szCs w:val="18"/>
                <w:lang w:val="sk-SK"/>
              </w:rPr>
              <w:t xml:space="preserve"> (oprávnený je softvér, ktorý žiadateľ/prijímateľ používa výlučne v súvislosti so vzdelávacím procesom na MŠ)</w:t>
            </w:r>
            <w:r w:rsidR="003D0E24">
              <w:rPr>
                <w:sz w:val="18"/>
                <w:szCs w:val="18"/>
                <w:lang w:val="sk-SK"/>
              </w:rPr>
              <w:t>.</w:t>
            </w:r>
          </w:p>
        </w:tc>
      </w:tr>
    </w:tbl>
    <w:p w14:paraId="1BABC4A1" w14:textId="77777777" w:rsidR="001B75B2" w:rsidRDefault="001B75B2" w:rsidP="009306EA">
      <w:pPr>
        <w:rPr>
          <w:szCs w:val="19"/>
          <w:lang w:val="sk-SK"/>
        </w:rPr>
      </w:pPr>
    </w:p>
    <w:p w14:paraId="5A5693B3" w14:textId="77777777" w:rsidR="0016059A" w:rsidRDefault="0016059A" w:rsidP="009306EA">
      <w:pPr>
        <w:rPr>
          <w:szCs w:val="19"/>
          <w:lang w:val="sk-SK"/>
        </w:rPr>
      </w:pPr>
    </w:p>
    <w:p w14:paraId="3B8866C5" w14:textId="77777777" w:rsidR="0016059A" w:rsidRDefault="0016059A" w:rsidP="0016059A">
      <w:pPr>
        <w:spacing w:after="60" w:line="288" w:lineRule="auto"/>
        <w:jc w:val="center"/>
        <w:rPr>
          <w:b/>
          <w:color w:val="002776" w:themeColor="text2"/>
          <w:sz w:val="24"/>
          <w:szCs w:val="16"/>
          <w:lang w:val="sk-SK"/>
        </w:rPr>
      </w:pPr>
    </w:p>
    <w:p w14:paraId="05B8E4B4" w14:textId="6689477D" w:rsidR="0016059A" w:rsidRDefault="0016059A" w:rsidP="0016059A">
      <w:pPr>
        <w:spacing w:after="60" w:line="288" w:lineRule="auto"/>
        <w:jc w:val="center"/>
        <w:rPr>
          <w:b/>
          <w:color w:val="002776" w:themeColor="text2"/>
          <w:sz w:val="24"/>
          <w:szCs w:val="16"/>
          <w:lang w:val="sk-SK"/>
        </w:rPr>
      </w:pPr>
      <w:r>
        <w:rPr>
          <w:b/>
          <w:color w:val="002776" w:themeColor="text2"/>
          <w:sz w:val="24"/>
          <w:szCs w:val="16"/>
          <w:lang w:val="sk-SK"/>
        </w:rPr>
        <w:t>Ne</w:t>
      </w:r>
      <w:r w:rsidRPr="005C4BFE">
        <w:rPr>
          <w:b/>
          <w:color w:val="002776" w:themeColor="text2"/>
          <w:sz w:val="24"/>
          <w:szCs w:val="16"/>
          <w:lang w:val="sk-SK"/>
        </w:rPr>
        <w:t>oprávnen</w:t>
      </w:r>
      <w:r>
        <w:rPr>
          <w:b/>
          <w:color w:val="002776" w:themeColor="text2"/>
          <w:sz w:val="24"/>
          <w:szCs w:val="16"/>
          <w:lang w:val="sk-SK"/>
        </w:rPr>
        <w:t>é</w:t>
      </w:r>
      <w:r w:rsidRPr="005C4BFE">
        <w:rPr>
          <w:b/>
          <w:color w:val="002776" w:themeColor="text2"/>
          <w:sz w:val="24"/>
          <w:szCs w:val="16"/>
          <w:lang w:val="sk-SK"/>
        </w:rPr>
        <w:t xml:space="preserve"> výdavk</w:t>
      </w:r>
      <w:r>
        <w:rPr>
          <w:b/>
          <w:color w:val="002776" w:themeColor="text2"/>
          <w:sz w:val="24"/>
          <w:szCs w:val="16"/>
          <w:lang w:val="sk-SK"/>
        </w:rPr>
        <w:t>y</w:t>
      </w:r>
    </w:p>
    <w:p w14:paraId="7ADB5DAB" w14:textId="77777777" w:rsidR="0016059A" w:rsidRDefault="0016059A" w:rsidP="0016059A">
      <w:pPr>
        <w:spacing w:before="120" w:after="120" w:line="288" w:lineRule="auto"/>
        <w:jc w:val="center"/>
        <w:rPr>
          <w:rFonts w:cs="Arial"/>
          <w:b/>
          <w:color w:val="000000" w:themeColor="text1"/>
          <w:szCs w:val="19"/>
          <w:lang w:val="sk-SK"/>
        </w:rPr>
      </w:pPr>
    </w:p>
    <w:p w14:paraId="1C3BF288" w14:textId="212A6FC9" w:rsidR="0016059A" w:rsidRPr="0016059A" w:rsidRDefault="0016059A" w:rsidP="0016059A">
      <w:pPr>
        <w:spacing w:before="120" w:after="120" w:line="288" w:lineRule="auto"/>
        <w:jc w:val="both"/>
        <w:rPr>
          <w:rFonts w:cs="Arial"/>
          <w:b/>
          <w:color w:val="000000" w:themeColor="text1"/>
          <w:szCs w:val="19"/>
          <w:lang w:val="sk-SK"/>
        </w:rPr>
      </w:pPr>
      <w:r w:rsidRPr="0016059A">
        <w:rPr>
          <w:rFonts w:cs="Arial"/>
          <w:b/>
          <w:color w:val="000000" w:themeColor="text1"/>
          <w:szCs w:val="19"/>
          <w:lang w:val="sk-SK"/>
        </w:rPr>
        <w:t xml:space="preserve">Neoprávnené výdavky uvedené v tomto odseku bude poskytovateľ </w:t>
      </w:r>
      <w:r w:rsidRPr="0016059A">
        <w:rPr>
          <w:rFonts w:cs="Arial"/>
          <w:b/>
          <w:color w:val="000000" w:themeColor="text1"/>
          <w:szCs w:val="19"/>
          <w:u w:val="single"/>
          <w:lang w:val="sk-SK"/>
        </w:rPr>
        <w:t>vždy</w:t>
      </w:r>
      <w:r w:rsidRPr="0016059A">
        <w:rPr>
          <w:rFonts w:cs="Arial"/>
          <w:b/>
          <w:color w:val="000000" w:themeColor="text1"/>
          <w:szCs w:val="19"/>
          <w:lang w:val="sk-SK"/>
        </w:rPr>
        <w:t xml:space="preserve"> považovať za neoprávnené bez ohľadu na ich vzťah k cieľom a charakteru projektu. </w:t>
      </w:r>
    </w:p>
    <w:p w14:paraId="42D41715" w14:textId="6A0D14C0" w:rsidR="0016059A" w:rsidRPr="0016059A" w:rsidRDefault="0016059A" w:rsidP="0016059A">
      <w:pPr>
        <w:spacing w:before="120" w:after="120" w:line="288" w:lineRule="auto"/>
        <w:jc w:val="both"/>
        <w:rPr>
          <w:rFonts w:eastAsiaTheme="minorHAnsi"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 xml:space="preserve">Uvedené neoprávnené výdavky nepredstavujú kompletný (konečný) zoznam. Poskytovateľ nemôže, vzhľadom na rozmanitosť aktivít identifikovať všetky neoprávnené výdavky, ktoré môžu v súvislosti s realizáciou projektov vzniknúť. </w:t>
      </w:r>
    </w:p>
    <w:p w14:paraId="08EA2102" w14:textId="77777777" w:rsidR="0016059A" w:rsidRPr="0016059A" w:rsidRDefault="0016059A" w:rsidP="0016059A">
      <w:pPr>
        <w:spacing w:before="120" w:after="120" w:line="288" w:lineRule="auto"/>
        <w:jc w:val="both"/>
        <w:rPr>
          <w:rFonts w:eastAsiaTheme="minorHAnsi"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>Vo všeobecnosti sa za neoprávnené považujú nasledovné výdavky:</w:t>
      </w:r>
    </w:p>
    <w:p w14:paraId="1900F783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výdavky, ktoré nespĺňajú kritériá vecnej oprávnenosti, časovej oprávnenosti a územnej oprávnenosti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55240F64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výdavky, ktoré nie je možné zaradiť medzi oprávnené v zmysle číselníka oprávnených výdavkov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636F4F02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výdavky, ktoré nespĺňajú kritériá hospodárnosti, efektívnosti, účelnosti a účinnosti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4036FE35" w14:textId="108098FE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výdavky, ktoré neboli obstarané v zmysle zákona 25/2006 Z. z. o verejnom obstarávaní (vzťahuje sa na výdavky, ktoré budú realizované dodávateľsky (uskutočnenie stavebných prác, dodanie tovarov, poskytnutie služieb)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18C3021C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hotovostné platby zahŕňaj</w:t>
      </w:r>
      <w:r w:rsidRPr="0016059A">
        <w:rPr>
          <w:rFonts w:eastAsia="Calibri" w:cs="Arial"/>
          <w:color w:val="000000" w:themeColor="text1"/>
          <w:szCs w:val="19"/>
          <w:lang w:val="sk-SK"/>
        </w:rPr>
        <w:t>ú</w:t>
      </w:r>
      <w:r w:rsidRPr="0016059A">
        <w:rPr>
          <w:rFonts w:cs="Arial"/>
          <w:color w:val="000000" w:themeColor="text1"/>
          <w:szCs w:val="19"/>
          <w:lang w:val="sk-SK"/>
        </w:rPr>
        <w:t>ce v</w:t>
      </w:r>
      <w:r w:rsidRPr="0016059A">
        <w:rPr>
          <w:rFonts w:eastAsia="Calibri" w:cs="Arial"/>
          <w:color w:val="000000" w:themeColor="text1"/>
          <w:szCs w:val="19"/>
          <w:lang w:val="sk-SK"/>
        </w:rPr>
        <w:t>ýd</w:t>
      </w:r>
      <w:r w:rsidRPr="0016059A">
        <w:rPr>
          <w:rFonts w:cs="Arial"/>
          <w:color w:val="000000" w:themeColor="text1"/>
          <w:szCs w:val="19"/>
          <w:lang w:val="sk-SK"/>
        </w:rPr>
        <w:t>avky na obstaranie dlhodob</w:t>
      </w:r>
      <w:r w:rsidRPr="0016059A">
        <w:rPr>
          <w:rFonts w:eastAsia="Calibri" w:cs="Arial"/>
          <w:color w:val="000000" w:themeColor="text1"/>
          <w:szCs w:val="19"/>
          <w:lang w:val="sk-SK"/>
        </w:rPr>
        <w:t>éh</w:t>
      </w:r>
      <w:r w:rsidRPr="0016059A">
        <w:rPr>
          <w:rFonts w:cs="Arial"/>
          <w:color w:val="000000" w:themeColor="text1"/>
          <w:szCs w:val="19"/>
          <w:lang w:val="sk-SK"/>
        </w:rPr>
        <w:t>o hmotn</w:t>
      </w:r>
      <w:r w:rsidRPr="0016059A">
        <w:rPr>
          <w:rFonts w:eastAsia="Calibri" w:cs="Arial"/>
          <w:color w:val="000000" w:themeColor="text1"/>
          <w:szCs w:val="19"/>
          <w:lang w:val="sk-SK"/>
        </w:rPr>
        <w:t>éh</w:t>
      </w:r>
      <w:r w:rsidRPr="0016059A">
        <w:rPr>
          <w:rFonts w:cs="Arial"/>
          <w:color w:val="000000" w:themeColor="text1"/>
          <w:szCs w:val="19"/>
          <w:lang w:val="sk-SK"/>
        </w:rPr>
        <w:t>o a nehmotn</w:t>
      </w:r>
      <w:r w:rsidRPr="0016059A">
        <w:rPr>
          <w:rFonts w:eastAsia="Calibri" w:cs="Arial"/>
          <w:color w:val="000000" w:themeColor="text1"/>
          <w:szCs w:val="19"/>
          <w:lang w:val="sk-SK"/>
        </w:rPr>
        <w:t>éh</w:t>
      </w:r>
      <w:r w:rsidRPr="0016059A">
        <w:rPr>
          <w:rFonts w:cs="Arial"/>
          <w:color w:val="000000" w:themeColor="text1"/>
          <w:szCs w:val="19"/>
          <w:lang w:val="sk-SK"/>
        </w:rPr>
        <w:t>o majetku, vr</w:t>
      </w:r>
      <w:r w:rsidRPr="0016059A">
        <w:rPr>
          <w:rFonts w:eastAsia="Calibri" w:cs="Arial"/>
          <w:color w:val="000000" w:themeColor="text1"/>
          <w:szCs w:val="19"/>
          <w:lang w:val="sk-SK"/>
        </w:rPr>
        <w:t>át</w:t>
      </w:r>
      <w:r w:rsidRPr="0016059A">
        <w:rPr>
          <w:rFonts w:cs="Arial"/>
          <w:color w:val="000000" w:themeColor="text1"/>
          <w:szCs w:val="19"/>
          <w:lang w:val="sk-SK"/>
        </w:rPr>
        <w:t>ane v</w:t>
      </w:r>
      <w:r w:rsidRPr="0016059A">
        <w:rPr>
          <w:rFonts w:eastAsia="Calibri" w:cs="Arial"/>
          <w:color w:val="000000" w:themeColor="text1"/>
          <w:szCs w:val="19"/>
          <w:lang w:val="sk-SK"/>
        </w:rPr>
        <w:t>ýd</w:t>
      </w:r>
      <w:r w:rsidRPr="0016059A">
        <w:rPr>
          <w:rFonts w:cs="Arial"/>
          <w:color w:val="000000" w:themeColor="text1"/>
          <w:szCs w:val="19"/>
          <w:lang w:val="sk-SK"/>
        </w:rPr>
        <w:t>avkov s</w:t>
      </w:r>
      <w:r w:rsidRPr="0016059A">
        <w:rPr>
          <w:rFonts w:eastAsia="Calibri" w:cs="Arial"/>
          <w:color w:val="000000" w:themeColor="text1"/>
          <w:szCs w:val="19"/>
          <w:lang w:val="sk-SK"/>
        </w:rPr>
        <w:t>úv</w:t>
      </w:r>
      <w:r w:rsidRPr="0016059A">
        <w:rPr>
          <w:rFonts w:cs="Arial"/>
          <w:color w:val="000000" w:themeColor="text1"/>
          <w:szCs w:val="19"/>
          <w:lang w:val="sk-SK"/>
        </w:rPr>
        <w:t>isiacich s obstaran</w:t>
      </w:r>
      <w:r w:rsidRPr="0016059A">
        <w:rPr>
          <w:rFonts w:eastAsia="Calibri" w:cs="Arial"/>
          <w:color w:val="000000" w:themeColor="text1"/>
          <w:szCs w:val="19"/>
          <w:lang w:val="sk-SK"/>
        </w:rPr>
        <w:t>ím</w:t>
      </w:r>
      <w:r w:rsidRPr="0016059A">
        <w:rPr>
          <w:rFonts w:cs="Arial"/>
          <w:color w:val="000000" w:themeColor="text1"/>
          <w:szCs w:val="19"/>
          <w:lang w:val="sk-SK"/>
        </w:rPr>
        <w:t xml:space="preserve"> tohto majetku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0C34B142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výdavky hradené v hotovosti, pri ktorej hodnota úhrady prevy</w:t>
      </w:r>
      <w:r w:rsidRPr="0016059A">
        <w:rPr>
          <w:rFonts w:eastAsia="Calibri" w:cs="Arial"/>
          <w:color w:val="000000" w:themeColor="text1"/>
          <w:szCs w:val="19"/>
          <w:lang w:val="sk-SK"/>
        </w:rPr>
        <w:t>šu</w:t>
      </w:r>
      <w:r w:rsidRPr="0016059A">
        <w:rPr>
          <w:rFonts w:cs="Arial"/>
          <w:color w:val="000000" w:themeColor="text1"/>
          <w:szCs w:val="19"/>
          <w:lang w:val="sk-SK"/>
        </w:rPr>
        <w:t>je 5 000 EUR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5C80F695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akákoľvek časť výdavkov, ktorou by sa prekročila maximálna intenzita pomoci, alebo stanovené finančné limity a benchmarky</w:t>
      </w:r>
      <w:r w:rsidRPr="0016059A">
        <w:rPr>
          <w:rStyle w:val="Odkaznapoznmkupodiarou"/>
          <w:rFonts w:cs="Arial"/>
          <w:color w:val="000000" w:themeColor="text1"/>
          <w:szCs w:val="19"/>
          <w:lang w:val="sk-SK"/>
        </w:rPr>
        <w:footnoteReference w:id="1"/>
      </w:r>
      <w:r w:rsidRPr="0016059A">
        <w:rPr>
          <w:rFonts w:cs="Arial"/>
          <w:color w:val="000000" w:themeColor="text1"/>
          <w:szCs w:val="19"/>
          <w:lang w:val="sk-SK"/>
        </w:rPr>
        <w:t>;</w:t>
      </w:r>
    </w:p>
    <w:p w14:paraId="5A80A884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>nákup pozemkov;</w:t>
      </w:r>
    </w:p>
    <w:p w14:paraId="14CDA97F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>nákup stavieb;</w:t>
      </w:r>
    </w:p>
    <w:p w14:paraId="79D42E4F" w14:textId="64E95BEF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 xml:space="preserve">kumulatívne výdavky na opatrenia na zvyšovanie energetickej efektívnosti  presahujúce výšku 40% z </w:t>
      </w:r>
      <w:r w:rsidR="00791D1E">
        <w:rPr>
          <w:rFonts w:cs="Arial"/>
          <w:color w:val="000000" w:themeColor="text1"/>
          <w:szCs w:val="19"/>
          <w:lang w:val="sk-SK"/>
        </w:rPr>
        <w:t>celkových</w:t>
      </w:r>
      <w:r w:rsidRPr="0016059A">
        <w:rPr>
          <w:rFonts w:cs="Arial"/>
          <w:color w:val="000000" w:themeColor="text1"/>
          <w:szCs w:val="19"/>
          <w:lang w:val="sk-SK"/>
        </w:rPr>
        <w:t xml:space="preserve"> oprávnených</w:t>
      </w:r>
      <w:r w:rsidR="00791D1E">
        <w:rPr>
          <w:rFonts w:cs="Arial"/>
          <w:color w:val="000000" w:themeColor="text1"/>
          <w:szCs w:val="19"/>
          <w:lang w:val="sk-SK"/>
        </w:rPr>
        <w:t xml:space="preserve"> výdavkov na</w:t>
      </w:r>
      <w:r w:rsidRPr="0016059A">
        <w:rPr>
          <w:rFonts w:cs="Arial"/>
          <w:color w:val="000000" w:themeColor="text1"/>
          <w:szCs w:val="19"/>
          <w:lang w:val="sk-SK"/>
        </w:rPr>
        <w:t xml:space="preserve"> stavebn</w:t>
      </w:r>
      <w:r w:rsidR="00791D1E">
        <w:rPr>
          <w:rFonts w:cs="Arial"/>
          <w:color w:val="000000" w:themeColor="text1"/>
          <w:szCs w:val="19"/>
          <w:lang w:val="sk-SK"/>
        </w:rPr>
        <w:t>é</w:t>
      </w:r>
      <w:r w:rsidRPr="0016059A">
        <w:rPr>
          <w:rFonts w:cs="Arial"/>
          <w:color w:val="000000" w:themeColor="text1"/>
          <w:szCs w:val="19"/>
          <w:lang w:val="sk-SK"/>
        </w:rPr>
        <w:t xml:space="preserve"> prác</w:t>
      </w:r>
      <w:r w:rsidR="00791D1E">
        <w:rPr>
          <w:rFonts w:cs="Arial"/>
          <w:color w:val="000000" w:themeColor="text1"/>
          <w:szCs w:val="19"/>
          <w:lang w:val="sk-SK"/>
        </w:rPr>
        <w:t>e</w:t>
      </w:r>
      <w:r w:rsidRPr="0016059A">
        <w:rPr>
          <w:rFonts w:cs="Arial"/>
          <w:color w:val="000000" w:themeColor="text1"/>
          <w:szCs w:val="19"/>
          <w:lang w:val="sk-SK"/>
        </w:rPr>
        <w:t>;</w:t>
      </w:r>
    </w:p>
    <w:p w14:paraId="5C018C73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kumulatívne výdavky na projektové a inžinierske práce presahujúce nasledovnú percentuálnu výšku z plánovaného objemu oprávnených výdavkov stavebných prác:</w:t>
      </w:r>
    </w:p>
    <w:tbl>
      <w:tblPr>
        <w:tblStyle w:val="Mriekatabuky"/>
        <w:tblpPr w:leftFromText="180" w:rightFromText="180" w:vertAnchor="text" w:horzAnchor="page" w:tblpX="2673" w:tblpY="68"/>
        <w:tblW w:w="0" w:type="auto"/>
        <w:tblBorders>
          <w:top w:val="single" w:sz="4" w:space="0" w:color="3C8A2E" w:themeColor="accent5"/>
          <w:left w:val="single" w:sz="4" w:space="0" w:color="3C8A2E" w:themeColor="accent5"/>
          <w:bottom w:val="single" w:sz="4" w:space="0" w:color="3C8A2E" w:themeColor="accent5"/>
          <w:right w:val="single" w:sz="4" w:space="0" w:color="3C8A2E" w:themeColor="accent5"/>
          <w:insideH w:val="single" w:sz="4" w:space="0" w:color="3C8A2E" w:themeColor="accent5"/>
          <w:insideV w:val="single" w:sz="4" w:space="0" w:color="3C8A2E" w:themeColor="accent5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1698"/>
      </w:tblGrid>
      <w:tr w:rsidR="0016059A" w:rsidRPr="0057599D" w14:paraId="7FFF599E" w14:textId="77777777" w:rsidTr="0079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shd w:val="clear" w:color="auto" w:fill="auto"/>
          </w:tcPr>
          <w:p w14:paraId="3A8B308B" w14:textId="4AD8B4AD" w:rsidR="0016059A" w:rsidRPr="0057599D" w:rsidRDefault="00791D1E" w:rsidP="0016059A">
            <w:pPr>
              <w:spacing w:line="288" w:lineRule="auto"/>
              <w:rPr>
                <w:rFonts w:cs="Arial"/>
                <w:b w:val="0"/>
                <w:color w:val="000000" w:themeColor="text1"/>
                <w:szCs w:val="19"/>
                <w:lang w:val="sk-SK"/>
              </w:rPr>
            </w:pPr>
            <w:r>
              <w:rPr>
                <w:b w:val="0"/>
                <w:color w:val="auto"/>
                <w:sz w:val="18"/>
                <w:szCs w:val="18"/>
                <w:lang w:val="sk-SK"/>
              </w:rPr>
              <w:t>Celkové oprávnené výdavky na</w:t>
            </w:r>
            <w:r w:rsidRPr="00AA50A2">
              <w:rPr>
                <w:b w:val="0"/>
                <w:color w:val="auto"/>
                <w:sz w:val="18"/>
                <w:szCs w:val="18"/>
                <w:lang w:val="sk-SK"/>
              </w:rPr>
              <w:t xml:space="preserve"> stavebn</w:t>
            </w:r>
            <w:r>
              <w:rPr>
                <w:b w:val="0"/>
                <w:color w:val="auto"/>
                <w:sz w:val="18"/>
                <w:szCs w:val="18"/>
                <w:lang w:val="sk-SK"/>
              </w:rPr>
              <w:t>é</w:t>
            </w:r>
            <w:r w:rsidRPr="00AA50A2">
              <w:rPr>
                <w:b w:val="0"/>
                <w:color w:val="auto"/>
                <w:sz w:val="18"/>
                <w:szCs w:val="18"/>
                <w:lang w:val="sk-SK"/>
              </w:rPr>
              <w:t xml:space="preserve"> prác</w:t>
            </w:r>
            <w:r>
              <w:rPr>
                <w:b w:val="0"/>
                <w:color w:val="auto"/>
                <w:sz w:val="18"/>
                <w:szCs w:val="18"/>
                <w:lang w:val="sk-SK"/>
              </w:rPr>
              <w:t>e</w:t>
            </w:r>
            <w:r w:rsidRPr="00AA50A2">
              <w:rPr>
                <w:b w:val="0"/>
                <w:color w:val="auto"/>
                <w:sz w:val="18"/>
                <w:szCs w:val="18"/>
                <w:lang w:val="sk-SK"/>
              </w:rPr>
              <w:t xml:space="preserve"> </w:t>
            </w:r>
            <w:r w:rsidR="0016059A" w:rsidRPr="0057599D">
              <w:rPr>
                <w:rFonts w:cs="Arial"/>
                <w:b w:val="0"/>
                <w:color w:val="000000" w:themeColor="text1"/>
                <w:szCs w:val="19"/>
                <w:lang w:val="sk-SK"/>
              </w:rPr>
              <w:t>(EUR)</w:t>
            </w:r>
          </w:p>
        </w:tc>
        <w:tc>
          <w:tcPr>
            <w:tcW w:w="1698" w:type="dxa"/>
            <w:shd w:val="clear" w:color="auto" w:fill="auto"/>
          </w:tcPr>
          <w:p w14:paraId="08D21F17" w14:textId="77777777" w:rsidR="0016059A" w:rsidRPr="0057599D" w:rsidRDefault="0016059A" w:rsidP="0016059A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b w:val="0"/>
                <w:color w:val="000000" w:themeColor="text1"/>
                <w:szCs w:val="19"/>
                <w:lang w:val="sk-SK"/>
              </w:rPr>
              <w:t>Limit</w:t>
            </w:r>
          </w:p>
        </w:tc>
      </w:tr>
      <w:tr w:rsidR="0016059A" w:rsidRPr="0057599D" w14:paraId="261EF679" w14:textId="77777777" w:rsidTr="0016059A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shd w:val="clear" w:color="auto" w:fill="auto"/>
          </w:tcPr>
          <w:p w14:paraId="021DFF4F" w14:textId="77777777" w:rsidR="0016059A" w:rsidRPr="0057599D" w:rsidRDefault="0016059A" w:rsidP="0016059A">
            <w:pPr>
              <w:spacing w:line="288" w:lineRule="auto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 w:eastAsia="cs-CZ"/>
              </w:rPr>
              <w:t>do 164 999,99</w:t>
            </w:r>
          </w:p>
        </w:tc>
        <w:tc>
          <w:tcPr>
            <w:tcW w:w="1698" w:type="dxa"/>
            <w:shd w:val="clear" w:color="auto" w:fill="auto"/>
          </w:tcPr>
          <w:p w14:paraId="53D82562" w14:textId="77777777" w:rsidR="0016059A" w:rsidRPr="0057599D" w:rsidRDefault="0016059A" w:rsidP="0016059A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/>
              </w:rPr>
              <w:t>5,00%</w:t>
            </w:r>
          </w:p>
        </w:tc>
      </w:tr>
      <w:tr w:rsidR="0016059A" w:rsidRPr="0057599D" w14:paraId="0F37C97F" w14:textId="77777777" w:rsidTr="0016059A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shd w:val="clear" w:color="auto" w:fill="auto"/>
          </w:tcPr>
          <w:p w14:paraId="0CE25095" w14:textId="77777777" w:rsidR="0016059A" w:rsidRPr="0057599D" w:rsidRDefault="0016059A" w:rsidP="0016059A">
            <w:pPr>
              <w:spacing w:line="288" w:lineRule="auto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 w:eastAsia="cs-CZ"/>
              </w:rPr>
              <w:t>od 165 000,00 do 331 999,99</w:t>
            </w:r>
          </w:p>
        </w:tc>
        <w:tc>
          <w:tcPr>
            <w:tcW w:w="1698" w:type="dxa"/>
            <w:shd w:val="clear" w:color="auto" w:fill="auto"/>
          </w:tcPr>
          <w:p w14:paraId="613A28B0" w14:textId="77777777" w:rsidR="0016059A" w:rsidRPr="0057599D" w:rsidRDefault="0016059A" w:rsidP="0016059A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/>
              </w:rPr>
              <w:t>4,00%</w:t>
            </w:r>
          </w:p>
        </w:tc>
      </w:tr>
      <w:tr w:rsidR="0016059A" w:rsidRPr="0057599D" w14:paraId="1060C160" w14:textId="77777777" w:rsidTr="0016059A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shd w:val="clear" w:color="auto" w:fill="auto"/>
          </w:tcPr>
          <w:p w14:paraId="6A39D3A4" w14:textId="77777777" w:rsidR="0016059A" w:rsidRPr="0057599D" w:rsidRDefault="0016059A" w:rsidP="0016059A">
            <w:pPr>
              <w:spacing w:line="288" w:lineRule="auto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 w:eastAsia="cs-CZ"/>
              </w:rPr>
              <w:t>od 332 000,00 do 663 999,99</w:t>
            </w:r>
          </w:p>
        </w:tc>
        <w:tc>
          <w:tcPr>
            <w:tcW w:w="1698" w:type="dxa"/>
            <w:shd w:val="clear" w:color="auto" w:fill="auto"/>
          </w:tcPr>
          <w:p w14:paraId="477937DC" w14:textId="77777777" w:rsidR="0016059A" w:rsidRPr="0057599D" w:rsidRDefault="0016059A" w:rsidP="0016059A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/>
              </w:rPr>
              <w:t>3,00%</w:t>
            </w:r>
          </w:p>
        </w:tc>
      </w:tr>
      <w:tr w:rsidR="0016059A" w:rsidRPr="0057599D" w14:paraId="3B72F4AA" w14:textId="77777777" w:rsidTr="0016059A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shd w:val="clear" w:color="auto" w:fill="auto"/>
          </w:tcPr>
          <w:p w14:paraId="6AE73A2B" w14:textId="77777777" w:rsidR="0016059A" w:rsidRPr="0057599D" w:rsidRDefault="0016059A" w:rsidP="0016059A">
            <w:pPr>
              <w:spacing w:line="288" w:lineRule="auto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 w:eastAsia="cs-CZ"/>
              </w:rPr>
              <w:t>od 664 000,00 do 1 000 000</w:t>
            </w:r>
          </w:p>
        </w:tc>
        <w:tc>
          <w:tcPr>
            <w:tcW w:w="1698" w:type="dxa"/>
            <w:shd w:val="clear" w:color="auto" w:fill="auto"/>
          </w:tcPr>
          <w:p w14:paraId="43AF6999" w14:textId="77777777" w:rsidR="0016059A" w:rsidRPr="0057599D" w:rsidRDefault="0016059A" w:rsidP="0016059A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19"/>
                <w:lang w:val="sk-SK"/>
              </w:rPr>
            </w:pPr>
            <w:r w:rsidRPr="0057599D">
              <w:rPr>
                <w:rFonts w:cs="Arial"/>
                <w:color w:val="000000" w:themeColor="text1"/>
                <w:szCs w:val="19"/>
                <w:lang w:val="sk-SK"/>
              </w:rPr>
              <w:t>2,00%</w:t>
            </w:r>
          </w:p>
        </w:tc>
      </w:tr>
    </w:tbl>
    <w:p w14:paraId="5AF0D7CF" w14:textId="77777777" w:rsidR="0016059A" w:rsidRPr="0016059A" w:rsidRDefault="0016059A" w:rsidP="0016059A">
      <w:pPr>
        <w:spacing w:line="288" w:lineRule="auto"/>
        <w:rPr>
          <w:rFonts w:cs="Arial"/>
          <w:color w:val="000000" w:themeColor="text1"/>
          <w:szCs w:val="19"/>
          <w:lang w:val="sk-SK"/>
        </w:rPr>
      </w:pPr>
    </w:p>
    <w:p w14:paraId="6493FA56" w14:textId="77777777" w:rsidR="0016059A" w:rsidRPr="0016059A" w:rsidRDefault="0016059A" w:rsidP="0016059A">
      <w:pPr>
        <w:spacing w:line="288" w:lineRule="auto"/>
        <w:rPr>
          <w:rFonts w:cs="Arial"/>
          <w:color w:val="000000" w:themeColor="text1"/>
          <w:szCs w:val="19"/>
          <w:lang w:val="sk-SK"/>
        </w:rPr>
      </w:pPr>
    </w:p>
    <w:p w14:paraId="1BF7A2CA" w14:textId="77777777" w:rsidR="0016059A" w:rsidRPr="0016059A" w:rsidRDefault="0016059A" w:rsidP="0016059A">
      <w:pPr>
        <w:spacing w:line="288" w:lineRule="auto"/>
        <w:rPr>
          <w:rFonts w:cs="Arial"/>
          <w:color w:val="000000" w:themeColor="text1"/>
          <w:szCs w:val="19"/>
          <w:lang w:val="sk-SK"/>
        </w:rPr>
      </w:pPr>
    </w:p>
    <w:p w14:paraId="062CE84B" w14:textId="77777777" w:rsidR="0016059A" w:rsidRDefault="0016059A" w:rsidP="0016059A">
      <w:pPr>
        <w:pStyle w:val="Odsekzoznamu"/>
        <w:spacing w:line="288" w:lineRule="auto"/>
        <w:ind w:left="568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</w:p>
    <w:p w14:paraId="7936B9D4" w14:textId="77777777" w:rsidR="0016059A" w:rsidRDefault="0016059A" w:rsidP="0016059A">
      <w:pPr>
        <w:pStyle w:val="Odsekzoznamu"/>
        <w:spacing w:line="288" w:lineRule="auto"/>
        <w:ind w:left="568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</w:p>
    <w:p w14:paraId="4383FBB7" w14:textId="77777777" w:rsidR="0016059A" w:rsidRPr="0016059A" w:rsidRDefault="0016059A" w:rsidP="0016059A">
      <w:pPr>
        <w:pStyle w:val="Odsekzoznamu"/>
        <w:spacing w:line="288" w:lineRule="auto"/>
        <w:ind w:left="568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</w:p>
    <w:p w14:paraId="03D82E9C" w14:textId="77777777" w:rsidR="0016059A" w:rsidRPr="0016059A" w:rsidRDefault="0016059A" w:rsidP="0016059A">
      <w:pPr>
        <w:pStyle w:val="Odsekzoznamu"/>
        <w:spacing w:line="288" w:lineRule="auto"/>
        <w:ind w:left="568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</w:p>
    <w:p w14:paraId="4FC529AC" w14:textId="77777777" w:rsidR="005771FE" w:rsidRDefault="005771FE" w:rsidP="005771FE">
      <w:pPr>
        <w:pStyle w:val="Odsekzoznamu"/>
        <w:spacing w:line="288" w:lineRule="auto"/>
        <w:ind w:left="568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</w:p>
    <w:p w14:paraId="1780D457" w14:textId="4E141924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lastRenderedPageBreak/>
        <w:t xml:space="preserve">kumulatívne výdavky na výkon služieb stavebného dozoru a energetický certifikát po realizácii projektu </w:t>
      </w:r>
      <w:r w:rsidRPr="0016059A">
        <w:rPr>
          <w:rFonts w:cs="Arial"/>
          <w:bCs/>
          <w:color w:val="000000" w:themeColor="text1"/>
          <w:szCs w:val="19"/>
          <w:lang w:val="sk-SK"/>
        </w:rPr>
        <w:t xml:space="preserve">presahujúce výšku 2,0 % z </w:t>
      </w:r>
      <w:r w:rsidR="006451E4">
        <w:rPr>
          <w:rFonts w:cs="Arial"/>
          <w:bCs/>
          <w:color w:val="000000" w:themeColor="text1"/>
          <w:szCs w:val="19"/>
          <w:lang w:val="sk-SK"/>
        </w:rPr>
        <w:t>celkových</w:t>
      </w:r>
      <w:r w:rsidRPr="0016059A">
        <w:rPr>
          <w:rFonts w:cs="Arial"/>
          <w:bCs/>
          <w:color w:val="000000" w:themeColor="text1"/>
          <w:szCs w:val="19"/>
          <w:lang w:val="sk-SK"/>
        </w:rPr>
        <w:t xml:space="preserve"> oprávnených</w:t>
      </w:r>
      <w:r w:rsidR="006451E4">
        <w:rPr>
          <w:rFonts w:cs="Arial"/>
          <w:bCs/>
          <w:color w:val="000000" w:themeColor="text1"/>
          <w:szCs w:val="19"/>
          <w:lang w:val="sk-SK"/>
        </w:rPr>
        <w:t xml:space="preserve"> výdavkov na</w:t>
      </w:r>
      <w:r w:rsidRPr="0016059A">
        <w:rPr>
          <w:rFonts w:cs="Arial"/>
          <w:bCs/>
          <w:color w:val="000000" w:themeColor="text1"/>
          <w:szCs w:val="19"/>
          <w:lang w:val="sk-SK"/>
        </w:rPr>
        <w:t xml:space="preserve"> stavebn</w:t>
      </w:r>
      <w:r w:rsidR="006451E4">
        <w:rPr>
          <w:rFonts w:cs="Arial"/>
          <w:bCs/>
          <w:color w:val="000000" w:themeColor="text1"/>
          <w:szCs w:val="19"/>
          <w:lang w:val="sk-SK"/>
        </w:rPr>
        <w:t>é</w:t>
      </w:r>
      <w:r w:rsidRPr="0016059A">
        <w:rPr>
          <w:rFonts w:cs="Arial"/>
          <w:bCs/>
          <w:color w:val="000000" w:themeColor="text1"/>
          <w:szCs w:val="19"/>
          <w:lang w:val="sk-SK"/>
        </w:rPr>
        <w:t xml:space="preserve"> prác</w:t>
      </w:r>
      <w:r w:rsidR="006451E4">
        <w:rPr>
          <w:rFonts w:cs="Arial"/>
          <w:bCs/>
          <w:color w:val="000000" w:themeColor="text1"/>
          <w:szCs w:val="19"/>
          <w:lang w:val="sk-SK"/>
        </w:rPr>
        <w:t>e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445ED3E3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kumulatívne výdavky na nákup softvéru presahujúce výšku 1000 EUR (pričom vo všeobecnosti je oprávnený len softvér, ktorý žiadateľ/prijímateľ používa výlučne v súvislosti so vzdelávacím procesom na MŠ)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04F393D8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osobné výdavky;</w:t>
      </w:r>
    </w:p>
    <w:p w14:paraId="0F7B79EC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>príprava žiadosti o poskytnutie NFP;</w:t>
      </w:r>
    </w:p>
    <w:p w14:paraId="0F010BE8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>výdavky na interné alebo externé riadenie projektu;</w:t>
      </w:r>
    </w:p>
    <w:p w14:paraId="36328D76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výdavky na opravu a údržbu;</w:t>
      </w:r>
    </w:p>
    <w:p w14:paraId="4C69BAF6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pravidelné obnovovacie investície súvisiace s výmenou strojov, prístrojov, zariadení a technológií;</w:t>
      </w:r>
    </w:p>
    <w:p w14:paraId="0F365A12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revízie a kontroly zariadení, technické prehliadky, funkčné skúšky, garančné a emisné merania ak nie sú súčasťou zmluvy o dielo, ale sú obstarávané samostatne;</w:t>
      </w:r>
    </w:p>
    <w:p w14:paraId="332A0AD4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>vedľajšie rozpočtové náklady (VRN) okrem výdavkov na zriadenia staveniska;</w:t>
      </w:r>
    </w:p>
    <w:p w14:paraId="6EEE39E2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asciiTheme="majorHAnsi" w:hAnsiTheme="majorHAnsi" w:cstheme="majorHAnsi"/>
          <w:szCs w:val="19"/>
          <w:lang w:val="sk-SK"/>
        </w:rPr>
        <w:t>rezerva na nepredvídané výdavky;</w:t>
      </w:r>
    </w:p>
    <w:p w14:paraId="442F8F42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rezerva na nepredvídateľné výdavky súvisiace s nadobudnutím technologických a technických zariadení;</w:t>
      </w:r>
    </w:p>
    <w:p w14:paraId="294A54E5" w14:textId="77777777" w:rsidR="0016059A" w:rsidRPr="0016059A" w:rsidRDefault="0016059A" w:rsidP="0016059A">
      <w:pPr>
        <w:pStyle w:val="Odsekzoznamu"/>
        <w:numPr>
          <w:ilvl w:val="0"/>
          <w:numId w:val="42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 xml:space="preserve">akreditácie, </w:t>
      </w:r>
      <w:proofErr w:type="spellStart"/>
      <w:r w:rsidRPr="0016059A">
        <w:rPr>
          <w:rFonts w:cs="Arial"/>
          <w:color w:val="000000" w:themeColor="text1"/>
          <w:szCs w:val="19"/>
          <w:lang w:val="sk-SK"/>
        </w:rPr>
        <w:t>reakreditácie</w:t>
      </w:r>
      <w:proofErr w:type="spellEnd"/>
      <w:r w:rsidRPr="0016059A">
        <w:rPr>
          <w:rFonts w:cs="Arial"/>
          <w:color w:val="000000" w:themeColor="text1"/>
          <w:szCs w:val="19"/>
          <w:lang w:val="sk-SK"/>
        </w:rPr>
        <w:t>;</w:t>
      </w:r>
    </w:p>
    <w:p w14:paraId="23A78B11" w14:textId="23AE2114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 xml:space="preserve">prevádzkové výdavky 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bezprostredne súvisiace s realizáciou hlavných aktivít projektu</w:t>
      </w:r>
      <w:r w:rsidRPr="0016059A">
        <w:rPr>
          <w:rFonts w:cs="Arial"/>
          <w:color w:val="000000" w:themeColor="text1"/>
          <w:szCs w:val="19"/>
          <w:lang w:val="sk-SK"/>
        </w:rPr>
        <w:t xml:space="preserve"> (napr. výdavky na energie, vodné a stočné, pohonné hmoty a iné)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  <w:r w:rsidRPr="0016059A">
        <w:rPr>
          <w:rFonts w:cs="Arial"/>
          <w:color w:val="000000" w:themeColor="text1"/>
          <w:szCs w:val="19"/>
          <w:lang w:val="sk-SK"/>
        </w:rPr>
        <w:t xml:space="preserve"> </w:t>
      </w:r>
    </w:p>
    <w:p w14:paraId="6D8ED5A7" w14:textId="6A37C279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 xml:space="preserve">prevádzkové výdavky 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súvisiace s riadením projektu</w:t>
      </w:r>
      <w:r w:rsidRPr="0016059A">
        <w:rPr>
          <w:rFonts w:cs="Arial"/>
          <w:color w:val="000000" w:themeColor="text1"/>
          <w:szCs w:val="19"/>
          <w:lang w:val="sk-SK"/>
        </w:rPr>
        <w:t xml:space="preserve"> (režijné výdavky ako napr. výdavky na t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>elefón, fax, internet, upratovanie, občerstvenie, nákup spotrebného materiálu a tovaru pre riadenie projektu);</w:t>
      </w:r>
    </w:p>
    <w:p w14:paraId="1BA756A4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správne poplatky, ktoré nie sú pre realizáciu projektu nevyhnutné a nemajú priamu väzbu na projekt;</w:t>
      </w:r>
    </w:p>
    <w:p w14:paraId="7DB38580" w14:textId="77777777" w:rsidR="0016059A" w:rsidRPr="0016059A" w:rsidRDefault="0016059A" w:rsidP="0016059A">
      <w:pPr>
        <w:pStyle w:val="Zoznamsodrkami"/>
        <w:numPr>
          <w:ilvl w:val="0"/>
          <w:numId w:val="43"/>
        </w:numPr>
        <w:spacing w:before="0" w:after="0" w:line="288" w:lineRule="auto"/>
        <w:ind w:left="567" w:hanging="283"/>
        <w:rPr>
          <w:rFonts w:ascii="Arial" w:hAnsi="Arial" w:cs="Arial"/>
          <w:strike/>
          <w:color w:val="000000" w:themeColor="text1"/>
          <w:sz w:val="19"/>
          <w:szCs w:val="19"/>
        </w:rPr>
      </w:pPr>
      <w:r w:rsidRPr="0016059A">
        <w:rPr>
          <w:rFonts w:ascii="Arial" w:hAnsi="Arial" w:cs="Arial"/>
          <w:color w:val="000000" w:themeColor="text1"/>
          <w:sz w:val="19"/>
          <w:szCs w:val="19"/>
        </w:rPr>
        <w:t xml:space="preserve">výdavky na poistenie majetku nadobudnutého v súvislosti s realizáciou projektu; </w:t>
      </w:r>
    </w:p>
    <w:p w14:paraId="6B157AFB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poplatky za zriadenie a vedenie bankového účtu v súvislosti s realizáciou projektu;</w:t>
      </w:r>
    </w:p>
    <w:p w14:paraId="321BD636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bankové poplatky;</w:t>
      </w:r>
    </w:p>
    <w:p w14:paraId="70F5A62A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daňové poplatky a dovozné prirážky;</w:t>
      </w:r>
    </w:p>
    <w:p w14:paraId="1AF47D37" w14:textId="5DD237B8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poplatky za poštovné a telekomunikačné služby;</w:t>
      </w:r>
    </w:p>
    <w:p w14:paraId="30746672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výdavky na nákup použitého zariadenia;</w:t>
      </w:r>
    </w:p>
    <w:p w14:paraId="7C8AF77B" w14:textId="77777777" w:rsidR="0016059A" w:rsidRPr="0016059A" w:rsidRDefault="0016059A" w:rsidP="0016059A">
      <w:pPr>
        <w:pStyle w:val="Zoznamsodrkami"/>
        <w:numPr>
          <w:ilvl w:val="0"/>
          <w:numId w:val="43"/>
        </w:numPr>
        <w:spacing w:before="0" w:after="0" w:line="288" w:lineRule="auto"/>
        <w:ind w:left="567" w:hanging="283"/>
        <w:rPr>
          <w:rFonts w:ascii="Arial" w:hAnsi="Arial" w:cs="Arial"/>
          <w:color w:val="000000" w:themeColor="text1"/>
          <w:sz w:val="19"/>
          <w:szCs w:val="19"/>
        </w:rPr>
      </w:pPr>
      <w:r w:rsidRPr="0016059A">
        <w:rPr>
          <w:rFonts w:ascii="Arial" w:hAnsi="Arial" w:cs="Arial"/>
          <w:color w:val="000000" w:themeColor="text1"/>
          <w:sz w:val="19"/>
          <w:szCs w:val="19"/>
        </w:rPr>
        <w:t>výdavky na právne služby prijímateľa voči poskytovateľovi (napr. žaloba, vypracovanie stanoviska);</w:t>
      </w:r>
    </w:p>
    <w:p w14:paraId="7A45223D" w14:textId="77777777" w:rsidR="0016059A" w:rsidRPr="0016059A" w:rsidRDefault="0016059A" w:rsidP="0016059A">
      <w:pPr>
        <w:pStyle w:val="Zoznamsodrkami"/>
        <w:numPr>
          <w:ilvl w:val="0"/>
          <w:numId w:val="43"/>
        </w:numPr>
        <w:spacing w:before="0" w:after="0" w:line="288" w:lineRule="auto"/>
        <w:ind w:left="567" w:hanging="283"/>
        <w:rPr>
          <w:rFonts w:ascii="Arial" w:hAnsi="Arial" w:cs="Arial"/>
          <w:color w:val="000000" w:themeColor="text1"/>
          <w:sz w:val="19"/>
          <w:szCs w:val="19"/>
        </w:rPr>
      </w:pPr>
      <w:r w:rsidRPr="0016059A">
        <w:rPr>
          <w:rFonts w:ascii="Arial" w:hAnsi="Arial" w:cs="Arial"/>
          <w:color w:val="000000" w:themeColor="text1"/>
          <w:sz w:val="19"/>
          <w:szCs w:val="19"/>
        </w:rPr>
        <w:t>sankčné poplatky, pokuty</w:t>
      </w:r>
      <w:r w:rsidRPr="0016059A">
        <w:rPr>
          <w:rStyle w:val="Odkaznapoznmkupodiarou"/>
          <w:rFonts w:cs="Arial"/>
          <w:color w:val="000000" w:themeColor="text1"/>
          <w:sz w:val="19"/>
          <w:szCs w:val="19"/>
        </w:rPr>
        <w:footnoteReference w:id="2"/>
      </w:r>
      <w:r w:rsidRPr="0016059A">
        <w:rPr>
          <w:rFonts w:ascii="Arial" w:hAnsi="Arial" w:cs="Arial"/>
          <w:color w:val="000000" w:themeColor="text1"/>
          <w:sz w:val="19"/>
          <w:szCs w:val="19"/>
        </w:rPr>
        <w:t xml:space="preserve"> a penále, prípadne ďalšie sankčné výdavky, či už dohodnuté v zmluvách alebo vzniknuté z iných príčin;</w:t>
      </w:r>
    </w:p>
    <w:p w14:paraId="493F8867" w14:textId="77777777" w:rsidR="0016059A" w:rsidRPr="0016059A" w:rsidRDefault="0016059A" w:rsidP="0016059A">
      <w:pPr>
        <w:pStyle w:val="Zoznamsodrkami"/>
        <w:numPr>
          <w:ilvl w:val="0"/>
          <w:numId w:val="43"/>
        </w:numPr>
        <w:spacing w:before="0" w:after="0" w:line="288" w:lineRule="auto"/>
        <w:ind w:left="567" w:hanging="283"/>
        <w:rPr>
          <w:rFonts w:ascii="Arial" w:hAnsi="Arial" w:cs="Arial"/>
          <w:color w:val="000000" w:themeColor="text1"/>
          <w:sz w:val="19"/>
          <w:szCs w:val="19"/>
        </w:rPr>
      </w:pPr>
      <w:r w:rsidRPr="0016059A">
        <w:rPr>
          <w:rFonts w:ascii="Arial" w:hAnsi="Arial" w:cs="Arial"/>
          <w:color w:val="000000" w:themeColor="text1"/>
          <w:sz w:val="19"/>
          <w:szCs w:val="19"/>
        </w:rPr>
        <w:t>manká, škody (napr. škody spôsobené počas výstavby na cudzom majetku) a dlhy;</w:t>
      </w:r>
    </w:p>
    <w:p w14:paraId="2560B634" w14:textId="77777777" w:rsidR="0016059A" w:rsidRPr="0016059A" w:rsidRDefault="0016059A" w:rsidP="0016059A">
      <w:pPr>
        <w:pStyle w:val="Zoznamsodrkami"/>
        <w:numPr>
          <w:ilvl w:val="0"/>
          <w:numId w:val="43"/>
        </w:numPr>
        <w:spacing w:before="0" w:after="0" w:line="288" w:lineRule="auto"/>
        <w:ind w:left="567" w:hanging="283"/>
        <w:rPr>
          <w:rFonts w:ascii="Arial" w:hAnsi="Arial" w:cs="Arial"/>
          <w:color w:val="000000" w:themeColor="text1"/>
          <w:sz w:val="19"/>
          <w:szCs w:val="19"/>
        </w:rPr>
      </w:pPr>
      <w:r w:rsidRPr="0016059A">
        <w:rPr>
          <w:rFonts w:ascii="Arial" w:hAnsi="Arial" w:cs="Arial"/>
          <w:color w:val="000000" w:themeColor="text1"/>
          <w:sz w:val="19"/>
          <w:szCs w:val="19"/>
        </w:rPr>
        <w:t>nesplatené dlžné úroky z úverov a pôžičiek</w:t>
      </w:r>
      <w:r w:rsidRPr="0016059A">
        <w:rPr>
          <w:rStyle w:val="Odkaznapoznmkupodiarou"/>
          <w:rFonts w:cs="Arial"/>
          <w:color w:val="000000" w:themeColor="text1"/>
          <w:sz w:val="19"/>
          <w:szCs w:val="19"/>
        </w:rPr>
        <w:footnoteReference w:id="3"/>
      </w:r>
      <w:r w:rsidRPr="0016059A">
        <w:rPr>
          <w:rFonts w:ascii="Arial" w:hAnsi="Arial" w:cs="Arial"/>
          <w:color w:val="000000" w:themeColor="text1"/>
          <w:sz w:val="19"/>
          <w:szCs w:val="19"/>
        </w:rPr>
        <w:t>;</w:t>
      </w:r>
    </w:p>
    <w:p w14:paraId="0A3ABA1E" w14:textId="77777777" w:rsidR="0016059A" w:rsidRPr="0016059A" w:rsidRDefault="0016059A" w:rsidP="0016059A">
      <w:pPr>
        <w:pStyle w:val="Zoznamsodrkami"/>
        <w:numPr>
          <w:ilvl w:val="0"/>
          <w:numId w:val="43"/>
        </w:numPr>
        <w:spacing w:before="0" w:after="0" w:line="288" w:lineRule="auto"/>
        <w:ind w:left="567" w:hanging="283"/>
        <w:rPr>
          <w:rFonts w:ascii="Arial" w:hAnsi="Arial" w:cs="Arial"/>
          <w:color w:val="000000" w:themeColor="text1"/>
          <w:sz w:val="19"/>
          <w:szCs w:val="19"/>
        </w:rPr>
      </w:pPr>
      <w:r w:rsidRPr="0016059A">
        <w:rPr>
          <w:rFonts w:ascii="Arial" w:hAnsi="Arial" w:cs="Arial"/>
          <w:color w:val="000000" w:themeColor="text1"/>
          <w:sz w:val="19"/>
          <w:szCs w:val="19"/>
        </w:rPr>
        <w:t>dary;</w:t>
      </w:r>
    </w:p>
    <w:p w14:paraId="0A02C07B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územné vplyvy;</w:t>
      </w:r>
    </w:p>
    <w:p w14:paraId="269EEF46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7" w:hanging="283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položky financované z iných finančných zdrojov (</w:t>
      </w:r>
      <w:proofErr w:type="spellStart"/>
      <w:r w:rsidRPr="0016059A">
        <w:rPr>
          <w:rFonts w:cs="Arial"/>
          <w:color w:val="000000" w:themeColor="text1"/>
          <w:szCs w:val="19"/>
          <w:lang w:val="sk-SK"/>
        </w:rPr>
        <w:t>Envirofond</w:t>
      </w:r>
      <w:proofErr w:type="spellEnd"/>
      <w:r w:rsidRPr="0016059A">
        <w:rPr>
          <w:rFonts w:cs="Arial"/>
          <w:color w:val="000000" w:themeColor="text1"/>
          <w:szCs w:val="19"/>
          <w:lang w:val="sk-SK"/>
        </w:rPr>
        <w:t>, Recyklačný fond);</w:t>
      </w:r>
    </w:p>
    <w:p w14:paraId="3A4E19EF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DPH v prípade, keď je nárokovateľná na vrátenie akýmkoľvek spôsobom;</w:t>
      </w:r>
    </w:p>
    <w:p w14:paraId="6145C6EE" w14:textId="77777777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priame dane (napr. daň z nehnuteľnosti, daň z motorových vozidiel a pod.);</w:t>
      </w:r>
    </w:p>
    <w:p w14:paraId="466D22B4" w14:textId="50B2CAC6" w:rsidR="0016059A" w:rsidRPr="0016059A" w:rsidRDefault="0016059A" w:rsidP="0016059A">
      <w:pPr>
        <w:pStyle w:val="Odsekzoznamu"/>
        <w:numPr>
          <w:ilvl w:val="0"/>
          <w:numId w:val="43"/>
        </w:numPr>
        <w:spacing w:line="288" w:lineRule="auto"/>
        <w:ind w:left="568" w:hanging="284"/>
        <w:contextualSpacing w:val="0"/>
        <w:jc w:val="both"/>
        <w:rPr>
          <w:szCs w:val="19"/>
          <w:lang w:val="sk-SK"/>
        </w:rPr>
      </w:pPr>
      <w:r w:rsidRPr="0016059A">
        <w:rPr>
          <w:rFonts w:cs="Arial"/>
          <w:color w:val="000000" w:themeColor="text1"/>
          <w:szCs w:val="19"/>
          <w:lang w:val="sk-SK"/>
        </w:rPr>
        <w:t>iné výdavky priamo nesúvisiace s</w:t>
      </w:r>
      <w:r>
        <w:rPr>
          <w:rFonts w:cs="Arial"/>
          <w:color w:val="000000" w:themeColor="text1"/>
          <w:szCs w:val="19"/>
          <w:lang w:val="sk-SK"/>
        </w:rPr>
        <w:t> </w:t>
      </w:r>
      <w:r w:rsidRPr="0016059A">
        <w:rPr>
          <w:rFonts w:cs="Arial"/>
          <w:color w:val="000000" w:themeColor="text1"/>
          <w:szCs w:val="19"/>
          <w:lang w:val="sk-SK"/>
        </w:rPr>
        <w:t>projektom</w:t>
      </w:r>
      <w:r>
        <w:rPr>
          <w:rFonts w:cs="Arial"/>
          <w:color w:val="000000" w:themeColor="text1"/>
          <w:szCs w:val="19"/>
          <w:lang w:val="sk-SK"/>
        </w:rPr>
        <w:t>.</w:t>
      </w:r>
    </w:p>
    <w:p w14:paraId="33310DB2" w14:textId="77777777" w:rsidR="0016059A" w:rsidRPr="0016059A" w:rsidRDefault="0016059A">
      <w:pPr>
        <w:spacing w:before="120" w:after="120" w:line="288" w:lineRule="auto"/>
        <w:rPr>
          <w:szCs w:val="19"/>
          <w:lang w:val="sk-SK"/>
        </w:rPr>
      </w:pPr>
    </w:p>
    <w:sectPr w:rsidR="0016059A" w:rsidRPr="0016059A" w:rsidSect="00E13C55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4A9C" w14:textId="77777777" w:rsidR="00583A4F" w:rsidRDefault="00583A4F">
      <w:r>
        <w:separator/>
      </w:r>
    </w:p>
    <w:p w14:paraId="237D244E" w14:textId="77777777" w:rsidR="00583A4F" w:rsidRDefault="00583A4F"/>
  </w:endnote>
  <w:endnote w:type="continuationSeparator" w:id="0">
    <w:p w14:paraId="3274AB5C" w14:textId="77777777" w:rsidR="00583A4F" w:rsidRDefault="00583A4F">
      <w:r>
        <w:continuationSeparator/>
      </w:r>
    </w:p>
    <w:p w14:paraId="40DEB73F" w14:textId="77777777" w:rsidR="00583A4F" w:rsidRDefault="00583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68F0" w14:textId="77777777" w:rsidR="00E13C55" w:rsidRPr="001B75B2" w:rsidRDefault="00E13C55" w:rsidP="00E13C55">
    <w:pPr>
      <w:pStyle w:val="Hlavika"/>
      <w:tabs>
        <w:tab w:val="left" w:pos="709"/>
      </w:tabs>
      <w:rPr>
        <w:lang w:val="sk-SK"/>
      </w:rPr>
    </w:pPr>
  </w:p>
  <w:p w14:paraId="0DF1BE13" w14:textId="77777777" w:rsidR="00A27A2C" w:rsidRPr="003530AF" w:rsidRDefault="00A27A2C" w:rsidP="00E13C5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7E07" w14:textId="77777777" w:rsidR="00583A4F" w:rsidRDefault="00583A4F">
      <w:r>
        <w:separator/>
      </w:r>
    </w:p>
    <w:p w14:paraId="1D649083" w14:textId="77777777" w:rsidR="00583A4F" w:rsidRDefault="00583A4F"/>
  </w:footnote>
  <w:footnote w:type="continuationSeparator" w:id="0">
    <w:p w14:paraId="05F0607F" w14:textId="77777777" w:rsidR="00583A4F" w:rsidRDefault="00583A4F">
      <w:r>
        <w:continuationSeparator/>
      </w:r>
    </w:p>
    <w:p w14:paraId="71B29E15" w14:textId="77777777" w:rsidR="00583A4F" w:rsidRDefault="00583A4F"/>
  </w:footnote>
  <w:footnote w:id="1">
    <w:p w14:paraId="6B4F2D96" w14:textId="77777777" w:rsidR="0016059A" w:rsidRPr="0016059A" w:rsidRDefault="0016059A" w:rsidP="0016059A">
      <w:pPr>
        <w:pStyle w:val="Textpoznmkypodiarou"/>
        <w:jc w:val="both"/>
        <w:rPr>
          <w:lang w:val="sk-SK"/>
        </w:rPr>
      </w:pPr>
      <w:r w:rsidRPr="0016059A">
        <w:rPr>
          <w:rStyle w:val="Odkaznapoznmkupodiarou"/>
          <w:rFonts w:cs="Arial"/>
          <w:szCs w:val="16"/>
          <w:lang w:val="sk-SK"/>
        </w:rPr>
        <w:footnoteRef/>
      </w:r>
      <w:r w:rsidRPr="0016059A">
        <w:rPr>
          <w:rFonts w:cs="Arial"/>
          <w:szCs w:val="16"/>
          <w:lang w:val="sk-SK"/>
        </w:rPr>
        <w:t xml:space="preserve"> Prekročenie stanoveného benchmarku je povolené iba vo výnimočných a dobre zdôvodnených prípadoch.</w:t>
      </w:r>
    </w:p>
  </w:footnote>
  <w:footnote w:id="2">
    <w:p w14:paraId="5794C947" w14:textId="77777777" w:rsidR="0016059A" w:rsidRPr="0016059A" w:rsidRDefault="0016059A" w:rsidP="0016059A">
      <w:pPr>
        <w:pStyle w:val="Textpoznmkypodiarou"/>
        <w:ind w:left="284" w:hanging="142"/>
        <w:jc w:val="both"/>
        <w:rPr>
          <w:rFonts w:cs="Arial"/>
          <w:szCs w:val="16"/>
          <w:lang w:val="sk-SK"/>
        </w:rPr>
      </w:pPr>
      <w:r w:rsidRPr="00584F3E">
        <w:rPr>
          <w:rStyle w:val="Odkaznapoznmkupodiarou"/>
          <w:rFonts w:cs="Arial"/>
          <w:szCs w:val="16"/>
        </w:rPr>
        <w:footnoteRef/>
      </w:r>
      <w:r w:rsidRPr="00584F3E">
        <w:rPr>
          <w:rFonts w:cs="Arial"/>
          <w:szCs w:val="16"/>
        </w:rPr>
        <w:t xml:space="preserve"> </w:t>
      </w:r>
      <w:r w:rsidRPr="0016059A">
        <w:rPr>
          <w:rFonts w:cs="Arial"/>
          <w:szCs w:val="16"/>
          <w:lang w:val="sk-SK"/>
        </w:rPr>
        <w:t>Takýmito výdavkami sú napr. pokuty (napr. pokuty uložené v súlade s ustanoveniami všeobecne záväzných právnych predpisov za porušenie princípu ,,znečisťovateľ platí“) a iné druhy uložených peňažných alebo nepeňažných sankcií.</w:t>
      </w:r>
    </w:p>
  </w:footnote>
  <w:footnote w:id="3">
    <w:p w14:paraId="01FA9751" w14:textId="77777777" w:rsidR="0016059A" w:rsidRPr="00490F16" w:rsidRDefault="0016059A" w:rsidP="0016059A">
      <w:pPr>
        <w:pStyle w:val="Textpoznmkypodiarou"/>
        <w:ind w:firstLine="142"/>
        <w:jc w:val="both"/>
        <w:rPr>
          <w:szCs w:val="18"/>
        </w:rPr>
      </w:pPr>
      <w:r w:rsidRPr="00584F3E">
        <w:rPr>
          <w:rStyle w:val="Odkaznapoznmkupodiarou"/>
          <w:rFonts w:cs="Arial"/>
          <w:szCs w:val="16"/>
        </w:rPr>
        <w:footnoteRef/>
      </w:r>
      <w:r w:rsidRPr="00584F3E">
        <w:rPr>
          <w:rFonts w:cs="Arial"/>
          <w:szCs w:val="16"/>
        </w:rPr>
        <w:t xml:space="preserve">   </w:t>
      </w:r>
      <w:proofErr w:type="spellStart"/>
      <w:r w:rsidRPr="00584F3E">
        <w:rPr>
          <w:rFonts w:cs="Arial"/>
          <w:szCs w:val="16"/>
        </w:rPr>
        <w:t>Týmto</w:t>
      </w:r>
      <w:proofErr w:type="spellEnd"/>
      <w:r w:rsidRPr="00584F3E">
        <w:rPr>
          <w:rFonts w:cs="Arial"/>
          <w:szCs w:val="16"/>
        </w:rPr>
        <w:t xml:space="preserve"> </w:t>
      </w:r>
      <w:proofErr w:type="spellStart"/>
      <w:r w:rsidRPr="00584F3E">
        <w:rPr>
          <w:rFonts w:cs="Arial"/>
          <w:szCs w:val="16"/>
        </w:rPr>
        <w:t>nie</w:t>
      </w:r>
      <w:proofErr w:type="spellEnd"/>
      <w:r w:rsidRPr="00584F3E">
        <w:rPr>
          <w:rFonts w:cs="Arial"/>
          <w:szCs w:val="16"/>
        </w:rPr>
        <w:t xml:space="preserve"> je </w:t>
      </w:r>
      <w:proofErr w:type="spellStart"/>
      <w:r w:rsidRPr="00584F3E">
        <w:rPr>
          <w:rFonts w:cs="Arial"/>
          <w:szCs w:val="16"/>
        </w:rPr>
        <w:t>dotknuté</w:t>
      </w:r>
      <w:proofErr w:type="spellEnd"/>
      <w:r w:rsidRPr="00584F3E">
        <w:rPr>
          <w:rFonts w:cs="Arial"/>
          <w:szCs w:val="16"/>
        </w:rPr>
        <w:t xml:space="preserve"> </w:t>
      </w:r>
      <w:proofErr w:type="spellStart"/>
      <w:r w:rsidRPr="00584F3E">
        <w:rPr>
          <w:rFonts w:cs="Arial"/>
          <w:szCs w:val="16"/>
        </w:rPr>
        <w:t>ustanovenie</w:t>
      </w:r>
      <w:proofErr w:type="spellEnd"/>
      <w:r w:rsidRPr="00584F3E">
        <w:rPr>
          <w:rFonts w:cs="Arial"/>
          <w:szCs w:val="16"/>
        </w:rPr>
        <w:t xml:space="preserve"> </w:t>
      </w:r>
      <w:proofErr w:type="spellStart"/>
      <w:r w:rsidRPr="00584F3E">
        <w:rPr>
          <w:rFonts w:cs="Arial"/>
          <w:szCs w:val="16"/>
        </w:rPr>
        <w:t>čl</w:t>
      </w:r>
      <w:proofErr w:type="spellEnd"/>
      <w:r w:rsidRPr="00584F3E">
        <w:rPr>
          <w:rFonts w:cs="Arial"/>
          <w:szCs w:val="16"/>
        </w:rPr>
        <w:t xml:space="preserve">. 69 </w:t>
      </w:r>
      <w:proofErr w:type="spellStart"/>
      <w:proofErr w:type="gramStart"/>
      <w:r w:rsidRPr="00584F3E">
        <w:rPr>
          <w:rFonts w:cs="Arial"/>
          <w:szCs w:val="16"/>
        </w:rPr>
        <w:t>ods</w:t>
      </w:r>
      <w:proofErr w:type="spellEnd"/>
      <w:proofErr w:type="gramEnd"/>
      <w:r w:rsidRPr="00584F3E">
        <w:rPr>
          <w:rFonts w:cs="Arial"/>
          <w:szCs w:val="16"/>
        </w:rPr>
        <w:t xml:space="preserve">. 3 </w:t>
      </w:r>
      <w:proofErr w:type="spellStart"/>
      <w:r w:rsidRPr="00584F3E">
        <w:rPr>
          <w:rFonts w:cs="Arial"/>
          <w:szCs w:val="16"/>
        </w:rPr>
        <w:t>písm</w:t>
      </w:r>
      <w:proofErr w:type="spellEnd"/>
      <w:r w:rsidRPr="00584F3E">
        <w:rPr>
          <w:rFonts w:cs="Arial"/>
          <w:szCs w:val="16"/>
        </w:rPr>
        <w:t xml:space="preserve">. a) </w:t>
      </w:r>
      <w:proofErr w:type="spellStart"/>
      <w:proofErr w:type="gramStart"/>
      <w:r w:rsidRPr="00584F3E">
        <w:rPr>
          <w:rFonts w:cs="Arial"/>
          <w:szCs w:val="16"/>
        </w:rPr>
        <w:t>všeobecného</w:t>
      </w:r>
      <w:proofErr w:type="spellEnd"/>
      <w:proofErr w:type="gramEnd"/>
      <w:r w:rsidRPr="00584F3E">
        <w:rPr>
          <w:rFonts w:cs="Arial"/>
          <w:szCs w:val="16"/>
        </w:rPr>
        <w:t xml:space="preserve"> </w:t>
      </w:r>
      <w:proofErr w:type="spellStart"/>
      <w:r w:rsidRPr="00584F3E">
        <w:rPr>
          <w:rFonts w:cs="Arial"/>
          <w:szCs w:val="16"/>
        </w:rPr>
        <w:t>nariadenia</w:t>
      </w:r>
      <w:proofErr w:type="spellEnd"/>
      <w:r w:rsidRPr="00584F3E">
        <w:rPr>
          <w:rFonts w:cs="Arial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E29A" w14:textId="55397CEA" w:rsidR="00CD3748" w:rsidRDefault="00CD3748" w:rsidP="00CD3748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9C7D229" wp14:editId="324833E6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1D64AAE" wp14:editId="758C6775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14:paraId="7E3135A3" w14:textId="77777777" w:rsidR="00CD3748" w:rsidRDefault="00CD3748" w:rsidP="00CD3748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14:paraId="40E3AC9F" w14:textId="77777777" w:rsidR="00CD3748" w:rsidRDefault="00CD3748" w:rsidP="00CD3748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14:paraId="796213B8" w14:textId="77777777" w:rsidR="00CD3748" w:rsidRDefault="00CD3748" w:rsidP="00CD3748">
    <w:pPr>
      <w:pStyle w:val="Hlavika"/>
    </w:pPr>
  </w:p>
  <w:p w14:paraId="368D45D5" w14:textId="65C6DC50" w:rsidR="00E13C55" w:rsidRDefault="00E13C55" w:rsidP="00CD3748">
    <w:pPr>
      <w:pStyle w:val="Hlavika"/>
      <w:tabs>
        <w:tab w:val="clear" w:pos="4703"/>
        <w:tab w:val="clear" w:pos="9406"/>
        <w:tab w:val="left" w:pos="4275"/>
        <w:tab w:val="left" w:pos="7380"/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6B5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192EDB"/>
    <w:multiLevelType w:val="hybridMultilevel"/>
    <w:tmpl w:val="5DE824A2"/>
    <w:lvl w:ilvl="0" w:tplc="E462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092911"/>
    <w:multiLevelType w:val="hybridMultilevel"/>
    <w:tmpl w:val="315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B470259"/>
    <w:multiLevelType w:val="hybridMultilevel"/>
    <w:tmpl w:val="58CAB7D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3325595"/>
    <w:multiLevelType w:val="hybridMultilevel"/>
    <w:tmpl w:val="0982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A6F66"/>
    <w:multiLevelType w:val="hybridMultilevel"/>
    <w:tmpl w:val="B644DC00"/>
    <w:lvl w:ilvl="0" w:tplc="940C044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911B1A"/>
    <w:multiLevelType w:val="hybridMultilevel"/>
    <w:tmpl w:val="B77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4742D"/>
    <w:multiLevelType w:val="hybridMultilevel"/>
    <w:tmpl w:val="F58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1A5C41"/>
    <w:multiLevelType w:val="hybridMultilevel"/>
    <w:tmpl w:val="A542660E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E282328"/>
    <w:multiLevelType w:val="hybridMultilevel"/>
    <w:tmpl w:val="D0E45812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4"/>
  </w:num>
  <w:num w:numId="5">
    <w:abstractNumId w:val="20"/>
  </w:num>
  <w:num w:numId="6">
    <w:abstractNumId w:val="22"/>
  </w:num>
  <w:num w:numId="7">
    <w:abstractNumId w:val="28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8"/>
  </w:num>
  <w:num w:numId="25">
    <w:abstractNumId w:val="25"/>
  </w:num>
  <w:num w:numId="26">
    <w:abstractNumId w:val="30"/>
  </w:num>
  <w:num w:numId="27">
    <w:abstractNumId w:val="27"/>
  </w:num>
  <w:num w:numId="28">
    <w:abstractNumId w:val="21"/>
  </w:num>
  <w:num w:numId="29">
    <w:abstractNumId w:val="32"/>
  </w:num>
  <w:num w:numId="30">
    <w:abstractNumId w:val="29"/>
  </w:num>
  <w:num w:numId="31">
    <w:abstractNumId w:val="15"/>
  </w:num>
  <w:num w:numId="32">
    <w:abstractNumId w:val="26"/>
  </w:num>
  <w:num w:numId="33">
    <w:abstractNumId w:val="33"/>
  </w:num>
  <w:num w:numId="34">
    <w:abstractNumId w:val="14"/>
  </w:num>
  <w:num w:numId="35">
    <w:abstractNumId w:val="35"/>
  </w:num>
  <w:num w:numId="36">
    <w:abstractNumId w:val="10"/>
  </w:num>
  <w:num w:numId="37">
    <w:abstractNumId w:val="37"/>
  </w:num>
  <w:num w:numId="38">
    <w:abstractNumId w:val="18"/>
  </w:num>
  <w:num w:numId="39">
    <w:abstractNumId w:val="31"/>
  </w:num>
  <w:num w:numId="40">
    <w:abstractNumId w:val="12"/>
  </w:num>
  <w:num w:numId="41">
    <w:abstractNumId w:val="17"/>
  </w:num>
  <w:num w:numId="42">
    <w:abstractNumId w:val="39"/>
  </w:num>
  <w:num w:numId="4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2"/>
    <w:rsid w:val="000016A5"/>
    <w:rsid w:val="00005D96"/>
    <w:rsid w:val="00015A80"/>
    <w:rsid w:val="00020A5B"/>
    <w:rsid w:val="00027230"/>
    <w:rsid w:val="00030C5B"/>
    <w:rsid w:val="00070B86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0A4F"/>
    <w:rsid w:val="000B7751"/>
    <w:rsid w:val="000C07D2"/>
    <w:rsid w:val="000C2594"/>
    <w:rsid w:val="000D7DB9"/>
    <w:rsid w:val="0011692E"/>
    <w:rsid w:val="001206DF"/>
    <w:rsid w:val="0012336B"/>
    <w:rsid w:val="00137B33"/>
    <w:rsid w:val="00143AD7"/>
    <w:rsid w:val="001452B6"/>
    <w:rsid w:val="00146657"/>
    <w:rsid w:val="0016059A"/>
    <w:rsid w:val="00164CB8"/>
    <w:rsid w:val="0017198C"/>
    <w:rsid w:val="00174AFE"/>
    <w:rsid w:val="001754E3"/>
    <w:rsid w:val="00181E0B"/>
    <w:rsid w:val="00182989"/>
    <w:rsid w:val="00182C05"/>
    <w:rsid w:val="001A19F7"/>
    <w:rsid w:val="001A3801"/>
    <w:rsid w:val="001A4B95"/>
    <w:rsid w:val="001A4E24"/>
    <w:rsid w:val="001B6E17"/>
    <w:rsid w:val="001B71CF"/>
    <w:rsid w:val="001B75B2"/>
    <w:rsid w:val="001C2EF4"/>
    <w:rsid w:val="001F0C13"/>
    <w:rsid w:val="001F6FD0"/>
    <w:rsid w:val="00205323"/>
    <w:rsid w:val="002066F3"/>
    <w:rsid w:val="00207FCC"/>
    <w:rsid w:val="00210E5E"/>
    <w:rsid w:val="00213203"/>
    <w:rsid w:val="00220042"/>
    <w:rsid w:val="00235D74"/>
    <w:rsid w:val="00236144"/>
    <w:rsid w:val="0024576C"/>
    <w:rsid w:val="00246E3F"/>
    <w:rsid w:val="00253BF6"/>
    <w:rsid w:val="00255671"/>
    <w:rsid w:val="002557C9"/>
    <w:rsid w:val="00260A1D"/>
    <w:rsid w:val="00263709"/>
    <w:rsid w:val="00270A2D"/>
    <w:rsid w:val="00272EE5"/>
    <w:rsid w:val="00274E01"/>
    <w:rsid w:val="002A053C"/>
    <w:rsid w:val="002A2D62"/>
    <w:rsid w:val="002D1E66"/>
    <w:rsid w:val="002D5999"/>
    <w:rsid w:val="002D5FCD"/>
    <w:rsid w:val="002D7602"/>
    <w:rsid w:val="002E32BC"/>
    <w:rsid w:val="002E681A"/>
    <w:rsid w:val="002F532B"/>
    <w:rsid w:val="003038D5"/>
    <w:rsid w:val="003059B4"/>
    <w:rsid w:val="0031390F"/>
    <w:rsid w:val="003154A1"/>
    <w:rsid w:val="0031599A"/>
    <w:rsid w:val="00325C7D"/>
    <w:rsid w:val="003530AF"/>
    <w:rsid w:val="00360EB6"/>
    <w:rsid w:val="00362BC5"/>
    <w:rsid w:val="00367862"/>
    <w:rsid w:val="00375271"/>
    <w:rsid w:val="00392F8B"/>
    <w:rsid w:val="00392FE4"/>
    <w:rsid w:val="003933E3"/>
    <w:rsid w:val="00394C79"/>
    <w:rsid w:val="003977EF"/>
    <w:rsid w:val="003A1398"/>
    <w:rsid w:val="003A449F"/>
    <w:rsid w:val="003A7D31"/>
    <w:rsid w:val="003D0E24"/>
    <w:rsid w:val="003D222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8504E"/>
    <w:rsid w:val="00496B11"/>
    <w:rsid w:val="00496CE1"/>
    <w:rsid w:val="004A531E"/>
    <w:rsid w:val="004A58C6"/>
    <w:rsid w:val="004A6C86"/>
    <w:rsid w:val="004B2373"/>
    <w:rsid w:val="004B4FFD"/>
    <w:rsid w:val="004B53E6"/>
    <w:rsid w:val="004B67CC"/>
    <w:rsid w:val="00505FF4"/>
    <w:rsid w:val="005201A1"/>
    <w:rsid w:val="00532D0A"/>
    <w:rsid w:val="00534E6E"/>
    <w:rsid w:val="0053590D"/>
    <w:rsid w:val="00564E27"/>
    <w:rsid w:val="0057284A"/>
    <w:rsid w:val="005771FE"/>
    <w:rsid w:val="00582B72"/>
    <w:rsid w:val="00583A4F"/>
    <w:rsid w:val="005936FF"/>
    <w:rsid w:val="005B4CAD"/>
    <w:rsid w:val="005B63F4"/>
    <w:rsid w:val="005C4964"/>
    <w:rsid w:val="005C4BFE"/>
    <w:rsid w:val="005D670E"/>
    <w:rsid w:val="005F0693"/>
    <w:rsid w:val="005F1143"/>
    <w:rsid w:val="005F67BA"/>
    <w:rsid w:val="00606BC7"/>
    <w:rsid w:val="00610E17"/>
    <w:rsid w:val="00624DC2"/>
    <w:rsid w:val="0063077C"/>
    <w:rsid w:val="00630A41"/>
    <w:rsid w:val="006311E5"/>
    <w:rsid w:val="006328F5"/>
    <w:rsid w:val="006330D1"/>
    <w:rsid w:val="00636412"/>
    <w:rsid w:val="006451E4"/>
    <w:rsid w:val="0064668B"/>
    <w:rsid w:val="006620EF"/>
    <w:rsid w:val="00670284"/>
    <w:rsid w:val="00677535"/>
    <w:rsid w:val="006775D5"/>
    <w:rsid w:val="0068328A"/>
    <w:rsid w:val="0068463D"/>
    <w:rsid w:val="006859B7"/>
    <w:rsid w:val="006A494E"/>
    <w:rsid w:val="006A57F5"/>
    <w:rsid w:val="006C0867"/>
    <w:rsid w:val="006C296C"/>
    <w:rsid w:val="006D02FC"/>
    <w:rsid w:val="006D6107"/>
    <w:rsid w:val="006E46FD"/>
    <w:rsid w:val="006F2C90"/>
    <w:rsid w:val="006F6C05"/>
    <w:rsid w:val="006F71E5"/>
    <w:rsid w:val="007021D8"/>
    <w:rsid w:val="00711003"/>
    <w:rsid w:val="00721B63"/>
    <w:rsid w:val="00726878"/>
    <w:rsid w:val="00726CE6"/>
    <w:rsid w:val="00726FE1"/>
    <w:rsid w:val="007350D2"/>
    <w:rsid w:val="00750341"/>
    <w:rsid w:val="007543EB"/>
    <w:rsid w:val="00755063"/>
    <w:rsid w:val="007675DF"/>
    <w:rsid w:val="00777B34"/>
    <w:rsid w:val="00777B43"/>
    <w:rsid w:val="00781B17"/>
    <w:rsid w:val="0078250C"/>
    <w:rsid w:val="00783127"/>
    <w:rsid w:val="007877D4"/>
    <w:rsid w:val="00791D1E"/>
    <w:rsid w:val="0079594D"/>
    <w:rsid w:val="007A120F"/>
    <w:rsid w:val="007A1AEE"/>
    <w:rsid w:val="007A44D3"/>
    <w:rsid w:val="007A49E8"/>
    <w:rsid w:val="007B3487"/>
    <w:rsid w:val="007C7E98"/>
    <w:rsid w:val="007D22CE"/>
    <w:rsid w:val="007D3B89"/>
    <w:rsid w:val="007D7E0C"/>
    <w:rsid w:val="007F11EE"/>
    <w:rsid w:val="008201A2"/>
    <w:rsid w:val="00824172"/>
    <w:rsid w:val="00842323"/>
    <w:rsid w:val="00847CA7"/>
    <w:rsid w:val="008503A8"/>
    <w:rsid w:val="00854E86"/>
    <w:rsid w:val="00856B36"/>
    <w:rsid w:val="00860775"/>
    <w:rsid w:val="00875E04"/>
    <w:rsid w:val="00887615"/>
    <w:rsid w:val="00887FA3"/>
    <w:rsid w:val="008A24FE"/>
    <w:rsid w:val="008A2EB4"/>
    <w:rsid w:val="008A7E44"/>
    <w:rsid w:val="008B232F"/>
    <w:rsid w:val="008B2E3C"/>
    <w:rsid w:val="008B3AF0"/>
    <w:rsid w:val="008B3E76"/>
    <w:rsid w:val="008B4AC0"/>
    <w:rsid w:val="008B7074"/>
    <w:rsid w:val="008C2A78"/>
    <w:rsid w:val="008C35E7"/>
    <w:rsid w:val="008C3FA4"/>
    <w:rsid w:val="008C5EDC"/>
    <w:rsid w:val="008D4113"/>
    <w:rsid w:val="008E0974"/>
    <w:rsid w:val="008E4E07"/>
    <w:rsid w:val="008E6769"/>
    <w:rsid w:val="008E7ED1"/>
    <w:rsid w:val="008F4C12"/>
    <w:rsid w:val="008F6816"/>
    <w:rsid w:val="00900826"/>
    <w:rsid w:val="00907754"/>
    <w:rsid w:val="0091097D"/>
    <w:rsid w:val="009306EA"/>
    <w:rsid w:val="0093353B"/>
    <w:rsid w:val="00935030"/>
    <w:rsid w:val="00956973"/>
    <w:rsid w:val="00957644"/>
    <w:rsid w:val="00962584"/>
    <w:rsid w:val="00991839"/>
    <w:rsid w:val="00997562"/>
    <w:rsid w:val="009B5123"/>
    <w:rsid w:val="009B5DEB"/>
    <w:rsid w:val="009C7320"/>
    <w:rsid w:val="009D0EC2"/>
    <w:rsid w:val="009D7ED9"/>
    <w:rsid w:val="009E21D5"/>
    <w:rsid w:val="009E7B3E"/>
    <w:rsid w:val="009F568A"/>
    <w:rsid w:val="009F6E8F"/>
    <w:rsid w:val="009F7721"/>
    <w:rsid w:val="00A050BE"/>
    <w:rsid w:val="00A0681B"/>
    <w:rsid w:val="00A06919"/>
    <w:rsid w:val="00A27A2C"/>
    <w:rsid w:val="00A319B0"/>
    <w:rsid w:val="00A40230"/>
    <w:rsid w:val="00A45DC1"/>
    <w:rsid w:val="00A520FB"/>
    <w:rsid w:val="00A81CF2"/>
    <w:rsid w:val="00A8715A"/>
    <w:rsid w:val="00A97651"/>
    <w:rsid w:val="00AA50A2"/>
    <w:rsid w:val="00AC292D"/>
    <w:rsid w:val="00AC53C0"/>
    <w:rsid w:val="00AD41A1"/>
    <w:rsid w:val="00AE0D5E"/>
    <w:rsid w:val="00AE13E4"/>
    <w:rsid w:val="00AE5FAD"/>
    <w:rsid w:val="00B12C89"/>
    <w:rsid w:val="00B20785"/>
    <w:rsid w:val="00B219B5"/>
    <w:rsid w:val="00B238EE"/>
    <w:rsid w:val="00B26AB7"/>
    <w:rsid w:val="00B26B5C"/>
    <w:rsid w:val="00B361F1"/>
    <w:rsid w:val="00B3675D"/>
    <w:rsid w:val="00B56763"/>
    <w:rsid w:val="00B60C55"/>
    <w:rsid w:val="00B670CC"/>
    <w:rsid w:val="00B8478F"/>
    <w:rsid w:val="00B85E85"/>
    <w:rsid w:val="00BB2B77"/>
    <w:rsid w:val="00BB3322"/>
    <w:rsid w:val="00BB45CE"/>
    <w:rsid w:val="00BB71C5"/>
    <w:rsid w:val="00BE6734"/>
    <w:rsid w:val="00C444B3"/>
    <w:rsid w:val="00C4496F"/>
    <w:rsid w:val="00C60815"/>
    <w:rsid w:val="00C73E05"/>
    <w:rsid w:val="00C766F4"/>
    <w:rsid w:val="00C819DA"/>
    <w:rsid w:val="00C97225"/>
    <w:rsid w:val="00C97A0D"/>
    <w:rsid w:val="00CA01E2"/>
    <w:rsid w:val="00CB0293"/>
    <w:rsid w:val="00CB1C18"/>
    <w:rsid w:val="00CB40D6"/>
    <w:rsid w:val="00CC08EE"/>
    <w:rsid w:val="00CD3748"/>
    <w:rsid w:val="00CD44BA"/>
    <w:rsid w:val="00CD7E26"/>
    <w:rsid w:val="00CE00BE"/>
    <w:rsid w:val="00CE77E6"/>
    <w:rsid w:val="00CF67FF"/>
    <w:rsid w:val="00CF7447"/>
    <w:rsid w:val="00D1104D"/>
    <w:rsid w:val="00D1672E"/>
    <w:rsid w:val="00D2604B"/>
    <w:rsid w:val="00D656C2"/>
    <w:rsid w:val="00D93275"/>
    <w:rsid w:val="00D96630"/>
    <w:rsid w:val="00D97825"/>
    <w:rsid w:val="00DC6C4A"/>
    <w:rsid w:val="00DE50F2"/>
    <w:rsid w:val="00DF1310"/>
    <w:rsid w:val="00DF22A0"/>
    <w:rsid w:val="00E030B7"/>
    <w:rsid w:val="00E12B48"/>
    <w:rsid w:val="00E1379B"/>
    <w:rsid w:val="00E13C55"/>
    <w:rsid w:val="00E23F79"/>
    <w:rsid w:val="00E2425D"/>
    <w:rsid w:val="00E25E6F"/>
    <w:rsid w:val="00E2626E"/>
    <w:rsid w:val="00E421C0"/>
    <w:rsid w:val="00E42428"/>
    <w:rsid w:val="00E42491"/>
    <w:rsid w:val="00E425C2"/>
    <w:rsid w:val="00E471C6"/>
    <w:rsid w:val="00E4734A"/>
    <w:rsid w:val="00E576A1"/>
    <w:rsid w:val="00E65A60"/>
    <w:rsid w:val="00E70644"/>
    <w:rsid w:val="00E8151A"/>
    <w:rsid w:val="00E91EAE"/>
    <w:rsid w:val="00ED39F8"/>
    <w:rsid w:val="00ED6B25"/>
    <w:rsid w:val="00EE0B0C"/>
    <w:rsid w:val="00EE67A7"/>
    <w:rsid w:val="00EE756B"/>
    <w:rsid w:val="00EF6270"/>
    <w:rsid w:val="00F0558E"/>
    <w:rsid w:val="00F06DA9"/>
    <w:rsid w:val="00F1784D"/>
    <w:rsid w:val="00F17990"/>
    <w:rsid w:val="00F17F4C"/>
    <w:rsid w:val="00F2676F"/>
    <w:rsid w:val="00F35321"/>
    <w:rsid w:val="00F433F7"/>
    <w:rsid w:val="00F52F24"/>
    <w:rsid w:val="00F55570"/>
    <w:rsid w:val="00F60038"/>
    <w:rsid w:val="00F62292"/>
    <w:rsid w:val="00F65BCE"/>
    <w:rsid w:val="00F77A7D"/>
    <w:rsid w:val="00F85DDA"/>
    <w:rsid w:val="00F93335"/>
    <w:rsid w:val="00F93B9A"/>
    <w:rsid w:val="00F95648"/>
    <w:rsid w:val="00FA2423"/>
    <w:rsid w:val="00FB2A3D"/>
    <w:rsid w:val="00FB4539"/>
    <w:rsid w:val="00FB533A"/>
    <w:rsid w:val="00FC1AB8"/>
    <w:rsid w:val="00FC2858"/>
    <w:rsid w:val="00FC41B7"/>
    <w:rsid w:val="00FD1128"/>
    <w:rsid w:val="00FE07E4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A0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Odkaz na poznámku pod čiarou1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 Char4"/>
    <w:basedOn w:val="Normlny"/>
    <w:link w:val="TextpoznmkypodiarouChar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 Char4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93B9A"/>
    <w:pPr>
      <w:spacing w:after="200" w:line="276" w:lineRule="auto"/>
    </w:pPr>
    <w:rPr>
      <w:rFonts w:ascii="Calibri" w:eastAsia="Calibri" w:hAnsi="Calibr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B9A"/>
    <w:rPr>
      <w:rFonts w:ascii="Calibri" w:eastAsia="Calibri" w:hAnsi="Calibri"/>
      <w:lang w:val="sk-SK"/>
    </w:rPr>
  </w:style>
  <w:style w:type="character" w:styleId="Odkaznakomentr">
    <w:name w:val="annotation reference"/>
    <w:uiPriority w:val="99"/>
    <w:unhideWhenUsed/>
    <w:rsid w:val="00F93B9A"/>
    <w:rPr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93B9A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rsid w:val="0063077C"/>
    <w:pPr>
      <w:spacing w:after="0" w:line="240" w:lineRule="auto"/>
    </w:pPr>
    <w:rPr>
      <w:rFonts w:ascii="Arial" w:eastAsia="Times New Roman" w:hAnsi="Arial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rsid w:val="0063077C"/>
    <w:rPr>
      <w:rFonts w:ascii="Arial" w:eastAsia="Calibri" w:hAnsi="Arial"/>
      <w:b/>
      <w:bCs/>
      <w:lang w:val="sk-SK"/>
    </w:rPr>
  </w:style>
  <w:style w:type="paragraph" w:customStyle="1" w:styleId="Default">
    <w:name w:val="Default"/>
    <w:rsid w:val="008D41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oznamsodrkami">
    <w:name w:val="List Bullet"/>
    <w:basedOn w:val="Zkladntext"/>
    <w:uiPriority w:val="99"/>
    <w:qFormat/>
    <w:rsid w:val="0016059A"/>
    <w:pPr>
      <w:spacing w:before="130" w:after="130"/>
      <w:jc w:val="both"/>
    </w:pPr>
    <w:rPr>
      <w:rFonts w:ascii="Times New Roman" w:hAnsi="Times New Roman"/>
      <w:sz w:val="22"/>
      <w:szCs w:val="20"/>
      <w:lang w:val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6059A"/>
    <w:rPr>
      <w:rFonts w:ascii="Arial" w:hAnsi="Arial"/>
      <w:sz w:val="19"/>
      <w:szCs w:val="24"/>
    </w:rPr>
  </w:style>
  <w:style w:type="paragraph" w:styleId="Zkladntext">
    <w:name w:val="Body Text"/>
    <w:basedOn w:val="Normlny"/>
    <w:link w:val="ZkladntextChar"/>
    <w:semiHidden/>
    <w:unhideWhenUsed/>
    <w:rsid w:val="0016059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16059A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Odkaz na poznámku pod čiarou1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 Char4"/>
    <w:basedOn w:val="Normlny"/>
    <w:link w:val="TextpoznmkypodiarouChar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 Char4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93B9A"/>
    <w:pPr>
      <w:spacing w:after="200" w:line="276" w:lineRule="auto"/>
    </w:pPr>
    <w:rPr>
      <w:rFonts w:ascii="Calibri" w:eastAsia="Calibri" w:hAnsi="Calibr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B9A"/>
    <w:rPr>
      <w:rFonts w:ascii="Calibri" w:eastAsia="Calibri" w:hAnsi="Calibri"/>
      <w:lang w:val="sk-SK"/>
    </w:rPr>
  </w:style>
  <w:style w:type="character" w:styleId="Odkaznakomentr">
    <w:name w:val="annotation reference"/>
    <w:uiPriority w:val="99"/>
    <w:unhideWhenUsed/>
    <w:rsid w:val="00F93B9A"/>
    <w:rPr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93B9A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rsid w:val="0063077C"/>
    <w:pPr>
      <w:spacing w:after="0" w:line="240" w:lineRule="auto"/>
    </w:pPr>
    <w:rPr>
      <w:rFonts w:ascii="Arial" w:eastAsia="Times New Roman" w:hAnsi="Arial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rsid w:val="0063077C"/>
    <w:rPr>
      <w:rFonts w:ascii="Arial" w:eastAsia="Calibri" w:hAnsi="Arial"/>
      <w:b/>
      <w:bCs/>
      <w:lang w:val="sk-SK"/>
    </w:rPr>
  </w:style>
  <w:style w:type="paragraph" w:customStyle="1" w:styleId="Default">
    <w:name w:val="Default"/>
    <w:rsid w:val="008D41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oznamsodrkami">
    <w:name w:val="List Bullet"/>
    <w:basedOn w:val="Zkladntext"/>
    <w:uiPriority w:val="99"/>
    <w:qFormat/>
    <w:rsid w:val="0016059A"/>
    <w:pPr>
      <w:spacing w:before="130" w:after="130"/>
      <w:jc w:val="both"/>
    </w:pPr>
    <w:rPr>
      <w:rFonts w:ascii="Times New Roman" w:hAnsi="Times New Roman"/>
      <w:sz w:val="22"/>
      <w:szCs w:val="20"/>
      <w:lang w:val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6059A"/>
    <w:rPr>
      <w:rFonts w:ascii="Arial" w:hAnsi="Arial"/>
      <w:sz w:val="19"/>
      <w:szCs w:val="24"/>
    </w:rPr>
  </w:style>
  <w:style w:type="paragraph" w:styleId="Zkladntext">
    <w:name w:val="Body Text"/>
    <w:basedOn w:val="Normlny"/>
    <w:link w:val="ZkladntextChar"/>
    <w:semiHidden/>
    <w:unhideWhenUsed/>
    <w:rsid w:val="0016059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16059A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51F8-7B0F-4E87-9940-CA5914B7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Háber Stanislav</cp:lastModifiedBy>
  <cp:revision>27</cp:revision>
  <cp:lastPrinted>2015-11-23T08:18:00Z</cp:lastPrinted>
  <dcterms:created xsi:type="dcterms:W3CDTF">2015-11-23T08:27:00Z</dcterms:created>
  <dcterms:modified xsi:type="dcterms:W3CDTF">2016-01-28T14:17:00Z</dcterms:modified>
</cp:coreProperties>
</file>