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8839" w14:textId="0C2558A1" w:rsidR="006F71E5" w:rsidRDefault="004B5E52" w:rsidP="00FC20E3">
      <w:pPr>
        <w:jc w:val="center"/>
        <w:rPr>
          <w:b/>
          <w:color w:val="002776" w:themeColor="text2"/>
          <w:sz w:val="24"/>
          <w:lang w:val="sk-SK"/>
        </w:rPr>
      </w:pPr>
      <w:bookmarkStart w:id="0" w:name="_GoBack"/>
      <w:bookmarkEnd w:id="0"/>
      <w:r w:rsidRPr="00FC20E3">
        <w:rPr>
          <w:b/>
          <w:color w:val="002776" w:themeColor="text2"/>
          <w:sz w:val="24"/>
          <w:lang w:val="sk-SK"/>
        </w:rPr>
        <w:t xml:space="preserve">Zoznam </w:t>
      </w:r>
      <w:r w:rsidR="00984B93" w:rsidRPr="00FC20E3">
        <w:rPr>
          <w:b/>
          <w:color w:val="002776" w:themeColor="text2"/>
          <w:sz w:val="24"/>
          <w:lang w:val="sk-SK"/>
        </w:rPr>
        <w:t xml:space="preserve">povinných </w:t>
      </w:r>
      <w:r w:rsidRPr="00FC20E3">
        <w:rPr>
          <w:b/>
          <w:color w:val="002776" w:themeColor="text2"/>
          <w:sz w:val="24"/>
          <w:lang w:val="sk-SK"/>
        </w:rPr>
        <w:t>merateľných ukazovateľov</w:t>
      </w:r>
    </w:p>
    <w:p w14:paraId="5EFBD443" w14:textId="77777777" w:rsidR="004B5E52" w:rsidRDefault="004B5E52" w:rsidP="006F71E5">
      <w:pPr>
        <w:rPr>
          <w:szCs w:val="16"/>
          <w:lang w:val="sk-SK"/>
        </w:rPr>
      </w:pPr>
    </w:p>
    <w:tbl>
      <w:tblPr>
        <w:tblStyle w:val="Deloittetable21"/>
        <w:tblW w:w="14601"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56"/>
        <w:gridCol w:w="2948"/>
        <w:gridCol w:w="6465"/>
        <w:gridCol w:w="1037"/>
        <w:gridCol w:w="858"/>
        <w:gridCol w:w="1196"/>
        <w:gridCol w:w="1341"/>
      </w:tblGrid>
      <w:tr w:rsidR="00FB6FC4" w:rsidRPr="00E1631A" w14:paraId="3E05BBF8" w14:textId="77777777" w:rsidTr="00E07D2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56" w:type="dxa"/>
            <w:shd w:val="clear" w:color="auto" w:fill="4F81BD"/>
          </w:tcPr>
          <w:p w14:paraId="7E0AFB35" w14:textId="77777777" w:rsidR="00FB6FC4" w:rsidRPr="00E1631A" w:rsidRDefault="00FB6FC4" w:rsidP="004B5E52">
            <w:pPr>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Kód</w:t>
            </w:r>
          </w:p>
        </w:tc>
        <w:tc>
          <w:tcPr>
            <w:tcW w:w="2948" w:type="dxa"/>
            <w:shd w:val="clear" w:color="auto" w:fill="4F81BD"/>
          </w:tcPr>
          <w:p w14:paraId="06541D8A" w14:textId="77777777" w:rsidR="00FB6FC4" w:rsidRPr="00E1631A" w:rsidRDefault="00FB6FC4" w:rsidP="004B5E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Názov ukazovateľa</w:t>
            </w:r>
          </w:p>
        </w:tc>
        <w:tc>
          <w:tcPr>
            <w:tcW w:w="6465" w:type="dxa"/>
            <w:shd w:val="clear" w:color="auto" w:fill="4F81BD"/>
          </w:tcPr>
          <w:p w14:paraId="63FDDF38" w14:textId="77777777" w:rsidR="00FB6FC4" w:rsidRPr="00E1631A" w:rsidRDefault="00FB6FC4" w:rsidP="004B5E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Definícia / metóda výpočtu</w:t>
            </w:r>
          </w:p>
        </w:tc>
        <w:tc>
          <w:tcPr>
            <w:tcW w:w="1037" w:type="dxa"/>
            <w:shd w:val="clear" w:color="auto" w:fill="4F81BD"/>
          </w:tcPr>
          <w:p w14:paraId="1D694801" w14:textId="77777777" w:rsidR="00FB6FC4" w:rsidRPr="00E1631A"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Merná jednotka</w:t>
            </w:r>
          </w:p>
        </w:tc>
        <w:tc>
          <w:tcPr>
            <w:tcW w:w="858" w:type="dxa"/>
            <w:shd w:val="clear" w:color="auto" w:fill="4F81BD"/>
          </w:tcPr>
          <w:p w14:paraId="6AFC0DFA" w14:textId="77777777" w:rsidR="00FB6FC4" w:rsidRPr="00E1631A"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Čas plnenia</w:t>
            </w:r>
          </w:p>
        </w:tc>
        <w:tc>
          <w:tcPr>
            <w:tcW w:w="1196" w:type="dxa"/>
            <w:shd w:val="clear" w:color="auto" w:fill="4F81BD"/>
          </w:tcPr>
          <w:p w14:paraId="24889489" w14:textId="0BB1A1A5" w:rsidR="00FB6FC4" w:rsidRPr="00E1631A"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Pr>
                <w:rFonts w:asciiTheme="minorHAnsi" w:hAnsiTheme="minorHAnsi" w:cstheme="minorHAnsi"/>
                <w:color w:val="FFFFFF" w:themeColor="background1"/>
                <w:szCs w:val="19"/>
                <w:lang w:val="sk-SK"/>
              </w:rPr>
              <w:t>Príznak rizika</w:t>
            </w:r>
          </w:p>
        </w:tc>
        <w:tc>
          <w:tcPr>
            <w:tcW w:w="1341" w:type="dxa"/>
            <w:shd w:val="clear" w:color="auto" w:fill="4F81BD"/>
          </w:tcPr>
          <w:p w14:paraId="62B111D3" w14:textId="31910C10" w:rsidR="00FB6FC4" w:rsidRPr="00E1631A" w:rsidRDefault="00FB6FC4" w:rsidP="004B5E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val="sk-SK"/>
              </w:rPr>
            </w:pPr>
            <w:r w:rsidRPr="00E1631A">
              <w:rPr>
                <w:rFonts w:asciiTheme="minorHAnsi" w:hAnsiTheme="minorHAnsi" w:cstheme="minorHAnsi"/>
                <w:color w:val="FFFFFF" w:themeColor="background1"/>
                <w:szCs w:val="19"/>
                <w:lang w:val="sk-SK"/>
              </w:rPr>
              <w:t>Relevantnosť k HP</w:t>
            </w:r>
          </w:p>
        </w:tc>
      </w:tr>
      <w:tr w:rsidR="00FB6FC4" w:rsidRPr="00E1631A" w14:paraId="18781F0B" w14:textId="77777777" w:rsidTr="00E07D28">
        <w:trPr>
          <w:trHeight w:val="1585"/>
        </w:trPr>
        <w:tc>
          <w:tcPr>
            <w:cnfStyle w:val="001000000000" w:firstRow="0" w:lastRow="0" w:firstColumn="1" w:lastColumn="0" w:oddVBand="0" w:evenVBand="0" w:oddHBand="0" w:evenHBand="0" w:firstRowFirstColumn="0" w:firstRowLastColumn="0" w:lastRowFirstColumn="0" w:lastRowLastColumn="0"/>
            <w:tcW w:w="756" w:type="dxa"/>
            <w:hideMark/>
          </w:tcPr>
          <w:p w14:paraId="7D08FDA5" w14:textId="77777777" w:rsidR="00FB6FC4" w:rsidRPr="00E1631A" w:rsidRDefault="00FB6FC4" w:rsidP="004B5E52">
            <w:pPr>
              <w:rPr>
                <w:rFonts w:asciiTheme="minorHAnsi" w:hAnsiTheme="minorHAnsi" w:cstheme="minorHAnsi"/>
                <w:szCs w:val="19"/>
                <w:lang w:val="sk-SK"/>
              </w:rPr>
            </w:pPr>
            <w:r w:rsidRPr="00E1631A">
              <w:rPr>
                <w:rFonts w:asciiTheme="minorHAnsi" w:hAnsiTheme="minorHAnsi" w:cstheme="minorHAnsi"/>
                <w:szCs w:val="19"/>
                <w:lang w:val="sk-SK"/>
              </w:rPr>
              <w:t>P0067</w:t>
            </w:r>
          </w:p>
        </w:tc>
        <w:tc>
          <w:tcPr>
            <w:tcW w:w="2948" w:type="dxa"/>
            <w:hideMark/>
          </w:tcPr>
          <w:p w14:paraId="5CF79A00" w14:textId="77777777" w:rsidR="00FB6FC4" w:rsidRPr="00E1631A" w:rsidRDefault="00FB6FC4" w:rsidP="004B5E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Kapacita podporenej školskej infraštruktúry materských škôl</w:t>
            </w:r>
          </w:p>
        </w:tc>
        <w:tc>
          <w:tcPr>
            <w:tcW w:w="6465" w:type="dxa"/>
            <w:hideMark/>
          </w:tcPr>
          <w:p w14:paraId="21DBE3F8" w14:textId="77777777" w:rsidR="00FB6FC4" w:rsidRPr="00E1631A" w:rsidRDefault="00FB6FC4" w:rsidP="004B5E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užívateľov, ktorí môžu používať nové alebo zlepšené zariadenia materských škôl.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E1631A">
              <w:rPr>
                <w:rFonts w:asciiTheme="minorHAnsi" w:hAnsiTheme="minorHAnsi" w:cstheme="minorHAnsi"/>
                <w:szCs w:val="19"/>
                <w:lang w:val="sk-SK"/>
              </w:rPr>
              <w:br/>
              <w:t xml:space="preserve">Ukazovateľ sa vypočíta ako súčet počtu "užívateľov" podporenej vzdelávacej infraštruktúry v dôsledku realizácie projektov. </w:t>
            </w:r>
            <w:r w:rsidRPr="00E1631A">
              <w:rPr>
                <w:rFonts w:asciiTheme="minorHAnsi" w:hAnsiTheme="minorHAnsi" w:cstheme="minorHAnsi"/>
                <w:szCs w:val="19"/>
                <w:lang w:val="sk-SK"/>
              </w:rPr>
              <w:br/>
              <w:t>Počet sa bude zisťovať na základe  monitorovacích správ a z výstupných zostáv ITMS.</w:t>
            </w:r>
          </w:p>
        </w:tc>
        <w:tc>
          <w:tcPr>
            <w:tcW w:w="1037" w:type="dxa"/>
            <w:hideMark/>
          </w:tcPr>
          <w:p w14:paraId="0BC55F23" w14:textId="77777777" w:rsidR="00FB6FC4" w:rsidRPr="00E1631A" w:rsidRDefault="00FB6FC4" w:rsidP="004B5E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Dieťa</w:t>
            </w:r>
          </w:p>
        </w:tc>
        <w:tc>
          <w:tcPr>
            <w:tcW w:w="858" w:type="dxa"/>
            <w:hideMark/>
          </w:tcPr>
          <w:p w14:paraId="2DDF847A" w14:textId="77777777" w:rsidR="00FB6FC4" w:rsidRPr="00E1631A" w:rsidRDefault="00FB6FC4" w:rsidP="004B5E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5878C261" w14:textId="74940D88" w:rsidR="00FB6FC4" w:rsidRPr="00E1631A" w:rsidRDefault="00FB6FC4" w:rsidP="00FB6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72EA1016" w14:textId="26B713A1" w:rsidR="00FB6FC4" w:rsidRPr="00E1631A" w:rsidRDefault="00FB6FC4" w:rsidP="004B5E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w:t>
            </w:r>
          </w:p>
        </w:tc>
      </w:tr>
      <w:tr w:rsidR="00FB6FC4" w:rsidRPr="00E1631A" w14:paraId="26E656BE" w14:textId="77777777" w:rsidTr="00E07D28">
        <w:trPr>
          <w:trHeight w:val="502"/>
        </w:trPr>
        <w:tc>
          <w:tcPr>
            <w:cnfStyle w:val="001000000000" w:firstRow="0" w:lastRow="0" w:firstColumn="1" w:lastColumn="0" w:oddVBand="0" w:evenVBand="0" w:oddHBand="0" w:evenHBand="0" w:firstRowFirstColumn="0" w:firstRowLastColumn="0" w:lastRowFirstColumn="0" w:lastRowLastColumn="0"/>
            <w:tcW w:w="756" w:type="dxa"/>
          </w:tcPr>
          <w:p w14:paraId="534BB6FF" w14:textId="77777777" w:rsidR="00FB6FC4" w:rsidRPr="00E1631A" w:rsidRDefault="00FB6FC4" w:rsidP="008927E4">
            <w:pPr>
              <w:rPr>
                <w:rFonts w:asciiTheme="minorHAnsi" w:hAnsiTheme="minorHAnsi" w:cstheme="minorHAnsi"/>
                <w:szCs w:val="19"/>
                <w:lang w:val="sk-SK"/>
              </w:rPr>
            </w:pPr>
            <w:r w:rsidRPr="00E1631A">
              <w:rPr>
                <w:rFonts w:asciiTheme="minorHAnsi" w:hAnsiTheme="minorHAnsi" w:cstheme="minorHAnsi"/>
                <w:szCs w:val="19"/>
                <w:lang w:val="sk-SK"/>
              </w:rPr>
              <w:t>P0700</w:t>
            </w:r>
          </w:p>
        </w:tc>
        <w:tc>
          <w:tcPr>
            <w:tcW w:w="2948" w:type="dxa"/>
          </w:tcPr>
          <w:p w14:paraId="1AB831DA" w14:textId="60064ACC" w:rsidR="00FB6FC4" w:rsidRPr="00E1631A" w:rsidRDefault="00FB6FC4" w:rsidP="008927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Zníženie ročnej spotreby primárnej energie vo verejných budovách</w:t>
            </w:r>
            <w:r>
              <w:rPr>
                <w:rStyle w:val="Odkaznapoznmkupodiarou"/>
                <w:rFonts w:cstheme="minorHAnsi"/>
                <w:szCs w:val="19"/>
                <w:lang w:val="sk-SK"/>
              </w:rPr>
              <w:footnoteReference w:id="1"/>
            </w:r>
          </w:p>
        </w:tc>
        <w:tc>
          <w:tcPr>
            <w:tcW w:w="6465" w:type="dxa"/>
          </w:tcPr>
          <w:p w14:paraId="275D2A2D" w14:textId="54C0EA9D" w:rsidR="00FB6FC4" w:rsidRPr="00E1631A" w:rsidRDefault="00FB6FC4" w:rsidP="003F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Výpočty vychádzajú z energetického certifikátu</w:t>
            </w:r>
            <w:r w:rsidR="003F2A52">
              <w:rPr>
                <w:rFonts w:asciiTheme="minorHAnsi" w:hAnsiTheme="minorHAnsi" w:cstheme="minorHAnsi"/>
                <w:szCs w:val="19"/>
                <w:lang w:val="sk-SK"/>
              </w:rPr>
              <w:t>,</w:t>
            </w:r>
            <w:r w:rsidRPr="00E1631A">
              <w:rPr>
                <w:rFonts w:asciiTheme="minorHAnsi" w:hAnsiTheme="minorHAnsi" w:cstheme="minorHAnsi"/>
                <w:szCs w:val="19"/>
                <w:lang w:val="sk-SK"/>
              </w:rPr>
              <w:t xml:space="preserve"> </w:t>
            </w:r>
            <w:r w:rsidR="009D150B" w:rsidRPr="00AD23C9">
              <w:rPr>
                <w:rFonts w:asciiTheme="minorHAnsi" w:hAnsiTheme="minorHAnsi" w:cstheme="minorHAnsi"/>
                <w:szCs w:val="19"/>
                <w:lang w:val="sk-SK"/>
              </w:rPr>
              <w:t>resp.</w:t>
            </w:r>
            <w:r w:rsidR="009D150B">
              <w:rPr>
                <w:rFonts w:asciiTheme="minorHAnsi" w:hAnsiTheme="minorHAnsi" w:cstheme="minorHAnsi"/>
                <w:szCs w:val="19"/>
                <w:lang w:val="sk-SK"/>
              </w:rPr>
              <w:t xml:space="preserve"> </w:t>
            </w:r>
            <w:r w:rsidR="009D150B" w:rsidRPr="00AD23C9">
              <w:rPr>
                <w:rFonts w:asciiTheme="minorHAnsi" w:hAnsiTheme="minorHAnsi" w:cstheme="minorHAnsi"/>
                <w:szCs w:val="19"/>
                <w:lang w:val="sk-SK"/>
              </w:rPr>
              <w:t>energetických auditov, tepelnotechnických posudkov vydaných a spracovaných pred a energetického certifikátu vydaného po významnej obnove budovy</w:t>
            </w:r>
            <w:r w:rsidRPr="00E1631A">
              <w:rPr>
                <w:rFonts w:asciiTheme="minorHAnsi" w:hAnsiTheme="minorHAnsi" w:cstheme="minorHAnsi"/>
                <w:szCs w:val="19"/>
                <w:lang w:val="sk-SK"/>
              </w:rPr>
              <w:t xml:space="preserve">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E1631A">
              <w:rPr>
                <w:rFonts w:asciiTheme="minorHAnsi" w:hAnsiTheme="minorHAnsi" w:cstheme="minorHAnsi"/>
                <w:szCs w:val="19"/>
                <w:lang w:val="sk-SK"/>
              </w:rPr>
              <w:br/>
              <w:t>Hodnota sa vypočíta z energetických certifikátov</w:t>
            </w:r>
            <w:r w:rsidR="00AD23C9">
              <w:rPr>
                <w:rFonts w:asciiTheme="minorHAnsi" w:hAnsiTheme="minorHAnsi" w:cstheme="minorHAnsi"/>
                <w:szCs w:val="19"/>
                <w:lang w:val="sk-SK"/>
              </w:rPr>
              <w:t xml:space="preserve">, </w:t>
            </w:r>
            <w:r w:rsidR="00AD23C9" w:rsidRPr="00AD23C9">
              <w:rPr>
                <w:rFonts w:asciiTheme="minorHAnsi" w:hAnsiTheme="minorHAnsi" w:cstheme="minorHAnsi"/>
                <w:szCs w:val="19"/>
                <w:lang w:val="sk-SK"/>
              </w:rPr>
              <w:t>resp.</w:t>
            </w:r>
            <w:r w:rsidR="00AD23C9">
              <w:rPr>
                <w:rFonts w:asciiTheme="minorHAnsi" w:hAnsiTheme="minorHAnsi" w:cstheme="minorHAnsi"/>
                <w:szCs w:val="19"/>
                <w:lang w:val="sk-SK"/>
              </w:rPr>
              <w:t xml:space="preserve"> </w:t>
            </w:r>
            <w:r w:rsidR="00AD23C9" w:rsidRPr="00AD23C9">
              <w:rPr>
                <w:rFonts w:asciiTheme="minorHAnsi" w:hAnsiTheme="minorHAnsi" w:cstheme="minorHAnsi"/>
                <w:szCs w:val="19"/>
                <w:lang w:val="sk-SK"/>
              </w:rPr>
              <w:t>energetických auditov, tepelnotechnických posudkov vydaných a spracovaných pred a energetického certifikátu vydaného po významnej obnove budovy</w:t>
            </w:r>
            <w:r w:rsidRPr="00E1631A">
              <w:rPr>
                <w:rFonts w:asciiTheme="minorHAnsi" w:hAnsiTheme="minorHAnsi" w:cstheme="minorHAnsi"/>
                <w:szCs w:val="19"/>
                <w:lang w:val="sk-SK"/>
              </w:rPr>
              <w:t xml:space="preserve"> </w:t>
            </w:r>
            <w:r w:rsidR="00AD23C9">
              <w:rPr>
                <w:rFonts w:asciiTheme="minorHAnsi" w:hAnsiTheme="minorHAnsi" w:cstheme="minorHAnsi"/>
                <w:szCs w:val="19"/>
                <w:lang w:val="sk-SK"/>
              </w:rPr>
              <w:t>.</w:t>
            </w:r>
            <w:r w:rsidRPr="00E1631A">
              <w:rPr>
                <w:rFonts w:asciiTheme="minorHAnsi" w:hAnsiTheme="minorHAnsi" w:cstheme="minorHAnsi"/>
                <w:szCs w:val="19"/>
                <w:lang w:val="sk-SK"/>
              </w:rPr>
              <w:t xml:space="preserve">  Ukazovateľ ukáže celkový pokles ročnej spotreby do konca daného obdobia, nie celkovú úsporu energie počas daného obdobia.</w:t>
            </w:r>
          </w:p>
        </w:tc>
        <w:tc>
          <w:tcPr>
            <w:tcW w:w="1037" w:type="dxa"/>
          </w:tcPr>
          <w:p w14:paraId="3C27B9BE" w14:textId="77777777" w:rsidR="00FB6FC4" w:rsidRPr="00E1631A" w:rsidRDefault="00FB6FC4" w:rsidP="008927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kWh/rok</w:t>
            </w:r>
          </w:p>
        </w:tc>
        <w:tc>
          <w:tcPr>
            <w:tcW w:w="858" w:type="dxa"/>
          </w:tcPr>
          <w:p w14:paraId="5B0D8D1B" w14:textId="77777777" w:rsidR="00FB6FC4" w:rsidRPr="00E1631A" w:rsidRDefault="00FB6FC4" w:rsidP="008927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 U</w:t>
            </w:r>
          </w:p>
        </w:tc>
        <w:tc>
          <w:tcPr>
            <w:tcW w:w="1196" w:type="dxa"/>
          </w:tcPr>
          <w:p w14:paraId="652BA6FB" w14:textId="1290D614" w:rsidR="00FB6FC4" w:rsidRPr="00E1631A" w:rsidRDefault="00FB6FC4" w:rsidP="00FB6F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s príznakom</w:t>
            </w:r>
          </w:p>
        </w:tc>
        <w:tc>
          <w:tcPr>
            <w:tcW w:w="1341" w:type="dxa"/>
          </w:tcPr>
          <w:p w14:paraId="31EB31E8" w14:textId="2BC5FA9A" w:rsidR="00FB6FC4" w:rsidRPr="00E1631A" w:rsidRDefault="00FB6FC4" w:rsidP="008927E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w:t>
            </w:r>
          </w:p>
        </w:tc>
      </w:tr>
      <w:tr w:rsidR="00FB6FC4" w:rsidRPr="00E1631A" w14:paraId="1D223251" w14:textId="77777777" w:rsidTr="00E07D28">
        <w:trPr>
          <w:trHeight w:val="502"/>
        </w:trPr>
        <w:tc>
          <w:tcPr>
            <w:cnfStyle w:val="001000000000" w:firstRow="0" w:lastRow="0" w:firstColumn="1" w:lastColumn="0" w:oddVBand="0" w:evenVBand="0" w:oddHBand="0" w:evenHBand="0" w:firstRowFirstColumn="0" w:firstRowLastColumn="0" w:lastRowFirstColumn="0" w:lastRowLastColumn="0"/>
            <w:tcW w:w="756" w:type="dxa"/>
          </w:tcPr>
          <w:p w14:paraId="53CD2E01" w14:textId="5FE60AA3"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P0103</w:t>
            </w:r>
          </w:p>
        </w:tc>
        <w:tc>
          <w:tcPr>
            <w:tcW w:w="2948" w:type="dxa"/>
          </w:tcPr>
          <w:p w14:paraId="016AABCB" w14:textId="13DC7F4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Odhadované ročné zníženie emisií skleníkových plynov</w:t>
            </w:r>
            <w:r>
              <w:rPr>
                <w:rStyle w:val="Odkaznapoznmkupodiarou"/>
                <w:rFonts w:cstheme="minorHAnsi"/>
                <w:szCs w:val="19"/>
                <w:lang w:val="sk-SK"/>
              </w:rPr>
              <w:footnoteReference w:id="2"/>
            </w:r>
          </w:p>
        </w:tc>
        <w:tc>
          <w:tcPr>
            <w:tcW w:w="6465" w:type="dxa"/>
          </w:tcPr>
          <w:p w14:paraId="744D2C89" w14:textId="199BF34F"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 xml:space="preserve">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w:t>
            </w:r>
            <w:r w:rsidRPr="00E1631A">
              <w:rPr>
                <w:rFonts w:asciiTheme="minorHAnsi" w:hAnsiTheme="minorHAnsi" w:cstheme="minorHAnsi"/>
                <w:szCs w:val="19"/>
                <w:lang w:val="sk-SK"/>
              </w:rPr>
              <w:lastRenderedPageBreak/>
              <w:t>intervencie s možným vplyvom na vznik skleníkových plynov je dobrovoľné.</w:t>
            </w:r>
            <w:r w:rsidRPr="00E1631A">
              <w:rPr>
                <w:rFonts w:asciiTheme="minorHAnsi" w:hAnsiTheme="minorHAnsi" w:cstheme="minorHAnsi"/>
                <w:szCs w:val="19"/>
                <w:lang w:val="sk-SK"/>
              </w:rPr>
              <w:br/>
              <w:t>Ukazovateľ vyjadruje celkový predpokladaný ročný pokles ku konca sledovaného obdobia, nevyjadruje celkový pokles počas sledovaného obdobia.</w:t>
            </w:r>
            <w:r w:rsidRPr="00E1631A">
              <w:rPr>
                <w:rFonts w:asciiTheme="minorHAnsi" w:hAnsiTheme="minorHAnsi" w:cstheme="minorHAnsi"/>
                <w:szCs w:val="19"/>
                <w:lang w:val="sk-SK"/>
              </w:rPr>
              <w:b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r w:rsidRPr="00E1631A">
              <w:rPr>
                <w:rFonts w:asciiTheme="minorHAnsi" w:hAnsiTheme="minorHAnsi" w:cstheme="minorHAnsi"/>
                <w:szCs w:val="19"/>
                <w:lang w:val="sk-SK"/>
              </w:rPr>
              <w:b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037" w:type="dxa"/>
          </w:tcPr>
          <w:p w14:paraId="4FB280E6" w14:textId="3922EFAD"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lastRenderedPageBreak/>
              <w:t xml:space="preserve">t </w:t>
            </w:r>
            <w:proofErr w:type="spellStart"/>
            <w:r w:rsidRPr="00E1631A">
              <w:rPr>
                <w:rFonts w:asciiTheme="minorHAnsi" w:hAnsiTheme="minorHAnsi" w:cstheme="minorHAnsi"/>
                <w:szCs w:val="19"/>
                <w:lang w:val="sk-SK"/>
              </w:rPr>
              <w:t>ekviv</w:t>
            </w:r>
            <w:proofErr w:type="spellEnd"/>
            <w:r w:rsidRPr="00E1631A">
              <w:rPr>
                <w:rFonts w:asciiTheme="minorHAnsi" w:hAnsiTheme="minorHAnsi" w:cstheme="minorHAnsi"/>
                <w:szCs w:val="19"/>
                <w:lang w:val="sk-SK"/>
              </w:rPr>
              <w:t>. CO2</w:t>
            </w:r>
          </w:p>
        </w:tc>
        <w:tc>
          <w:tcPr>
            <w:tcW w:w="858" w:type="dxa"/>
          </w:tcPr>
          <w:p w14:paraId="0E07E9F9" w14:textId="0C518370"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w:t>
            </w:r>
          </w:p>
        </w:tc>
        <w:tc>
          <w:tcPr>
            <w:tcW w:w="1196" w:type="dxa"/>
          </w:tcPr>
          <w:p w14:paraId="00B19CE3" w14:textId="3F014560"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s príznakom</w:t>
            </w:r>
          </w:p>
        </w:tc>
        <w:tc>
          <w:tcPr>
            <w:tcW w:w="1341" w:type="dxa"/>
          </w:tcPr>
          <w:p w14:paraId="60A7B6F1" w14:textId="56B1DE7F"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w:t>
            </w:r>
          </w:p>
        </w:tc>
      </w:tr>
      <w:tr w:rsidR="00FB6FC4" w:rsidRPr="00E1631A" w14:paraId="725EA43B" w14:textId="77777777" w:rsidTr="00E07D28">
        <w:trPr>
          <w:trHeight w:val="502"/>
        </w:trPr>
        <w:tc>
          <w:tcPr>
            <w:cnfStyle w:val="001000000000" w:firstRow="0" w:lastRow="0" w:firstColumn="1" w:lastColumn="0" w:oddVBand="0" w:evenVBand="0" w:oddHBand="0" w:evenHBand="0" w:firstRowFirstColumn="0" w:firstRowLastColumn="0" w:lastRowFirstColumn="0" w:lastRowLastColumn="0"/>
            <w:tcW w:w="756" w:type="dxa"/>
            <w:hideMark/>
          </w:tcPr>
          <w:p w14:paraId="6D9A791C"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lastRenderedPageBreak/>
              <w:t>P0300</w:t>
            </w:r>
          </w:p>
        </w:tc>
        <w:tc>
          <w:tcPr>
            <w:tcW w:w="2948" w:type="dxa"/>
            <w:hideMark/>
          </w:tcPr>
          <w:p w14:paraId="5A2508F4"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podporených materských škôl</w:t>
            </w:r>
          </w:p>
        </w:tc>
        <w:tc>
          <w:tcPr>
            <w:tcW w:w="6465" w:type="dxa"/>
            <w:hideMark/>
          </w:tcPr>
          <w:p w14:paraId="59D55420"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MŠ dostávajúcich podporu z OP. Podpora musí byť v súlade s nadefinovanými princípmi výberu operácii.</w:t>
            </w:r>
          </w:p>
        </w:tc>
        <w:tc>
          <w:tcPr>
            <w:tcW w:w="1037" w:type="dxa"/>
            <w:hideMark/>
          </w:tcPr>
          <w:p w14:paraId="68094782"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w:t>
            </w:r>
          </w:p>
        </w:tc>
        <w:tc>
          <w:tcPr>
            <w:tcW w:w="858" w:type="dxa"/>
            <w:hideMark/>
          </w:tcPr>
          <w:p w14:paraId="4709380B"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76DF49A8" w14:textId="7789204A"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47B7D477" w14:textId="38DC4F69"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RN</w:t>
            </w:r>
          </w:p>
        </w:tc>
      </w:tr>
      <w:tr w:rsidR="00FB6FC4" w:rsidRPr="00E1631A" w14:paraId="401E1700" w14:textId="77777777" w:rsidTr="00D26E47">
        <w:trPr>
          <w:trHeight w:val="219"/>
        </w:trPr>
        <w:tc>
          <w:tcPr>
            <w:cnfStyle w:val="001000000000" w:firstRow="0" w:lastRow="0" w:firstColumn="1" w:lastColumn="0" w:oddVBand="0" w:evenVBand="0" w:oddHBand="0" w:evenHBand="0" w:firstRowFirstColumn="0" w:firstRowLastColumn="0" w:lastRowFirstColumn="0" w:lastRowLastColumn="0"/>
            <w:tcW w:w="756" w:type="dxa"/>
            <w:hideMark/>
          </w:tcPr>
          <w:p w14:paraId="33CF64D2"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P0228</w:t>
            </w:r>
          </w:p>
        </w:tc>
        <w:tc>
          <w:tcPr>
            <w:tcW w:w="2948" w:type="dxa"/>
            <w:hideMark/>
          </w:tcPr>
          <w:p w14:paraId="365B89A8"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nových verejných budov</w:t>
            </w:r>
          </w:p>
        </w:tc>
        <w:tc>
          <w:tcPr>
            <w:tcW w:w="6465" w:type="dxa"/>
            <w:hideMark/>
          </w:tcPr>
          <w:p w14:paraId="70BCC2CD"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nových budov vďaka podpore</w:t>
            </w:r>
          </w:p>
        </w:tc>
        <w:tc>
          <w:tcPr>
            <w:tcW w:w="1037" w:type="dxa"/>
            <w:hideMark/>
          </w:tcPr>
          <w:p w14:paraId="148A2B56"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w:t>
            </w:r>
          </w:p>
        </w:tc>
        <w:tc>
          <w:tcPr>
            <w:tcW w:w="858" w:type="dxa"/>
            <w:hideMark/>
          </w:tcPr>
          <w:p w14:paraId="13AD3545"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463C6BF6" w14:textId="62A8A999"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76E1664A" w14:textId="6F19A784"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RN</w:t>
            </w:r>
          </w:p>
        </w:tc>
      </w:tr>
      <w:tr w:rsidR="00FB6FC4" w:rsidRPr="00E1631A" w14:paraId="566FA4B2" w14:textId="77777777" w:rsidTr="00D26E47">
        <w:trPr>
          <w:trHeight w:val="351"/>
        </w:trPr>
        <w:tc>
          <w:tcPr>
            <w:cnfStyle w:val="001000000000" w:firstRow="0" w:lastRow="0" w:firstColumn="1" w:lastColumn="0" w:oddVBand="0" w:evenVBand="0" w:oddHBand="0" w:evenHBand="0" w:firstRowFirstColumn="0" w:firstRowLastColumn="0" w:lastRowFirstColumn="0" w:lastRowLastColumn="0"/>
            <w:tcW w:w="756" w:type="dxa"/>
            <w:hideMark/>
          </w:tcPr>
          <w:p w14:paraId="5D65270D"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P0374</w:t>
            </w:r>
          </w:p>
        </w:tc>
        <w:tc>
          <w:tcPr>
            <w:tcW w:w="2948" w:type="dxa"/>
            <w:hideMark/>
          </w:tcPr>
          <w:p w14:paraId="0C980594"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renovovaných verejných budov</w:t>
            </w:r>
          </w:p>
        </w:tc>
        <w:tc>
          <w:tcPr>
            <w:tcW w:w="6465" w:type="dxa"/>
            <w:hideMark/>
          </w:tcPr>
          <w:p w14:paraId="3F1AA8CD"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 budov - obnovených pomocou prístavby, nadstavby, dostavby</w:t>
            </w:r>
          </w:p>
        </w:tc>
        <w:tc>
          <w:tcPr>
            <w:tcW w:w="1037" w:type="dxa"/>
            <w:hideMark/>
          </w:tcPr>
          <w:p w14:paraId="7CCA967D"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počet</w:t>
            </w:r>
          </w:p>
        </w:tc>
        <w:tc>
          <w:tcPr>
            <w:tcW w:w="858" w:type="dxa"/>
            <w:hideMark/>
          </w:tcPr>
          <w:p w14:paraId="02FC2756"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74C2A9A5" w14:textId="7B7F3004"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1E7DAD57" w14:textId="1706A3B2"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RN</w:t>
            </w:r>
          </w:p>
        </w:tc>
      </w:tr>
      <w:tr w:rsidR="00FB6FC4" w:rsidRPr="00E1631A" w14:paraId="1553BFF6" w14:textId="77777777" w:rsidTr="00D26E47">
        <w:trPr>
          <w:trHeight w:val="414"/>
        </w:trPr>
        <w:tc>
          <w:tcPr>
            <w:cnfStyle w:val="001000000000" w:firstRow="0" w:lastRow="0" w:firstColumn="1" w:lastColumn="0" w:oddVBand="0" w:evenVBand="0" w:oddHBand="0" w:evenHBand="0" w:firstRowFirstColumn="0" w:firstRowLastColumn="0" w:lastRowFirstColumn="0" w:lastRowLastColumn="0"/>
            <w:tcW w:w="756" w:type="dxa"/>
            <w:hideMark/>
          </w:tcPr>
          <w:p w14:paraId="140E1317"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P0613</w:t>
            </w:r>
          </w:p>
        </w:tc>
        <w:tc>
          <w:tcPr>
            <w:tcW w:w="2948" w:type="dxa"/>
            <w:hideMark/>
          </w:tcPr>
          <w:p w14:paraId="7AFF0556"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Podlahová plocha nových verejných budov</w:t>
            </w:r>
          </w:p>
        </w:tc>
        <w:tc>
          <w:tcPr>
            <w:tcW w:w="6465" w:type="dxa"/>
            <w:hideMark/>
          </w:tcPr>
          <w:p w14:paraId="247CA5FC"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Podlahová plocha nových verejných budov</w:t>
            </w:r>
          </w:p>
        </w:tc>
        <w:tc>
          <w:tcPr>
            <w:tcW w:w="1037" w:type="dxa"/>
            <w:hideMark/>
          </w:tcPr>
          <w:p w14:paraId="5CF88432"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m2</w:t>
            </w:r>
          </w:p>
        </w:tc>
        <w:tc>
          <w:tcPr>
            <w:tcW w:w="858" w:type="dxa"/>
            <w:hideMark/>
          </w:tcPr>
          <w:p w14:paraId="44F44F3A"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09FEF736" w14:textId="5961F6B3"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6B902E79" w14:textId="6AF311CE"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w:t>
            </w:r>
          </w:p>
        </w:tc>
      </w:tr>
      <w:tr w:rsidR="00FB6FC4" w:rsidRPr="00E1631A" w14:paraId="6D8AB1CF" w14:textId="77777777" w:rsidTr="00D26E47">
        <w:trPr>
          <w:trHeight w:val="336"/>
        </w:trPr>
        <w:tc>
          <w:tcPr>
            <w:cnfStyle w:val="001000000000" w:firstRow="0" w:lastRow="0" w:firstColumn="1" w:lastColumn="0" w:oddVBand="0" w:evenVBand="0" w:oddHBand="0" w:evenHBand="0" w:firstRowFirstColumn="0" w:firstRowLastColumn="0" w:lastRowFirstColumn="0" w:lastRowLastColumn="0"/>
            <w:tcW w:w="756" w:type="dxa"/>
            <w:hideMark/>
          </w:tcPr>
          <w:p w14:paraId="48F7F857"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P0614</w:t>
            </w:r>
          </w:p>
        </w:tc>
        <w:tc>
          <w:tcPr>
            <w:tcW w:w="2948" w:type="dxa"/>
            <w:hideMark/>
          </w:tcPr>
          <w:p w14:paraId="6BFEEF61"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Podlahová plocha renovovaných verejných budov</w:t>
            </w:r>
          </w:p>
        </w:tc>
        <w:tc>
          <w:tcPr>
            <w:tcW w:w="6465" w:type="dxa"/>
            <w:hideMark/>
          </w:tcPr>
          <w:p w14:paraId="2E324AE9"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m2 obnovených budov - renovovaných - prístavba, nadstavba, dostavba</w:t>
            </w:r>
          </w:p>
        </w:tc>
        <w:tc>
          <w:tcPr>
            <w:tcW w:w="1037" w:type="dxa"/>
            <w:hideMark/>
          </w:tcPr>
          <w:p w14:paraId="5A708B0F"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m2</w:t>
            </w:r>
          </w:p>
        </w:tc>
        <w:tc>
          <w:tcPr>
            <w:tcW w:w="858" w:type="dxa"/>
            <w:hideMark/>
          </w:tcPr>
          <w:p w14:paraId="2A93A40E"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67FA44FD" w14:textId="1E420493"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7D096C3F" w14:textId="155E9156"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w:t>
            </w:r>
          </w:p>
        </w:tc>
      </w:tr>
      <w:tr w:rsidR="00FB6FC4" w:rsidRPr="00E1631A" w14:paraId="1D92F23D" w14:textId="77777777" w:rsidTr="00E07D28">
        <w:trPr>
          <w:trHeight w:val="502"/>
        </w:trPr>
        <w:tc>
          <w:tcPr>
            <w:cnfStyle w:val="001000000000" w:firstRow="0" w:lastRow="0" w:firstColumn="1" w:lastColumn="0" w:oddVBand="0" w:evenVBand="0" w:oddHBand="0" w:evenHBand="0" w:firstRowFirstColumn="0" w:firstRowLastColumn="0" w:lastRowFirstColumn="0" w:lastRowLastColumn="0"/>
            <w:tcW w:w="756" w:type="dxa"/>
            <w:hideMark/>
          </w:tcPr>
          <w:p w14:paraId="7CD43507" w14:textId="77777777" w:rsidR="00FB6FC4" w:rsidRPr="00E1631A" w:rsidRDefault="00FB6FC4" w:rsidP="007A15BF">
            <w:pPr>
              <w:rPr>
                <w:rFonts w:asciiTheme="minorHAnsi" w:hAnsiTheme="minorHAnsi" w:cstheme="minorHAnsi"/>
                <w:szCs w:val="19"/>
                <w:lang w:val="sk-SK"/>
              </w:rPr>
            </w:pPr>
            <w:r w:rsidRPr="00E1631A">
              <w:rPr>
                <w:rFonts w:asciiTheme="minorHAnsi" w:hAnsiTheme="minorHAnsi" w:cstheme="minorHAnsi"/>
                <w:szCs w:val="19"/>
                <w:lang w:val="sk-SK"/>
              </w:rPr>
              <w:t>P0617</w:t>
            </w:r>
          </w:p>
        </w:tc>
        <w:tc>
          <w:tcPr>
            <w:tcW w:w="2948" w:type="dxa"/>
            <w:hideMark/>
          </w:tcPr>
          <w:p w14:paraId="74033DDC"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Postavené alebo zrenovované verejné alebo komerčné budovy v mestských oblastiach</w:t>
            </w:r>
          </w:p>
        </w:tc>
        <w:tc>
          <w:tcPr>
            <w:tcW w:w="6465" w:type="dxa"/>
            <w:hideMark/>
          </w:tcPr>
          <w:p w14:paraId="3B69058D" w14:textId="77777777" w:rsidR="00FB6FC4" w:rsidRPr="00E1631A" w:rsidRDefault="00FB6FC4" w:rsidP="007A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 xml:space="preserve">Rozloha nových a renovovaných budov realizovaných na území stratégií udržateľného mestského rozvoja. </w:t>
            </w:r>
          </w:p>
        </w:tc>
        <w:tc>
          <w:tcPr>
            <w:tcW w:w="1037" w:type="dxa"/>
            <w:hideMark/>
          </w:tcPr>
          <w:p w14:paraId="4706C9F7"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m2</w:t>
            </w:r>
          </w:p>
        </w:tc>
        <w:tc>
          <w:tcPr>
            <w:tcW w:w="858" w:type="dxa"/>
            <w:hideMark/>
          </w:tcPr>
          <w:p w14:paraId="6A7ED71A" w14:textId="77777777"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K</w:t>
            </w:r>
          </w:p>
        </w:tc>
        <w:tc>
          <w:tcPr>
            <w:tcW w:w="1196" w:type="dxa"/>
          </w:tcPr>
          <w:p w14:paraId="2E47987C" w14:textId="65B6432F"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1F0F0080" w14:textId="07359952" w:rsidR="00FB6FC4" w:rsidRPr="00E1631A" w:rsidRDefault="00FB6FC4" w:rsidP="007A1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 RN</w:t>
            </w:r>
          </w:p>
        </w:tc>
      </w:tr>
      <w:tr w:rsidR="00C762DD" w:rsidRPr="00E1631A" w14:paraId="66D96B74" w14:textId="77777777" w:rsidTr="00E07D28">
        <w:trPr>
          <w:trHeight w:val="502"/>
        </w:trPr>
        <w:tc>
          <w:tcPr>
            <w:cnfStyle w:val="001000000000" w:firstRow="0" w:lastRow="0" w:firstColumn="1" w:lastColumn="0" w:oddVBand="0" w:evenVBand="0" w:oddHBand="0" w:evenHBand="0" w:firstRowFirstColumn="0" w:firstRowLastColumn="0" w:lastRowFirstColumn="0" w:lastRowLastColumn="0"/>
            <w:tcW w:w="756" w:type="dxa"/>
          </w:tcPr>
          <w:p w14:paraId="0D020B45" w14:textId="36309DBC" w:rsidR="00C762DD" w:rsidRPr="00C762DD" w:rsidRDefault="00C762DD" w:rsidP="00C762DD">
            <w:pPr>
              <w:rPr>
                <w:rFonts w:asciiTheme="minorHAnsi" w:hAnsiTheme="minorHAnsi" w:cstheme="minorHAnsi"/>
                <w:szCs w:val="19"/>
                <w:lang w:val="sk-SK"/>
              </w:rPr>
            </w:pPr>
            <w:r w:rsidRPr="00C762DD">
              <w:rPr>
                <w:rFonts w:asciiTheme="minorHAnsi" w:hAnsiTheme="minorHAnsi" w:cstheme="minorHAnsi"/>
                <w:szCs w:val="19"/>
                <w:lang w:val="sk-SK"/>
              </w:rPr>
              <w:t>P0759</w:t>
            </w:r>
          </w:p>
        </w:tc>
        <w:tc>
          <w:tcPr>
            <w:tcW w:w="2948" w:type="dxa"/>
          </w:tcPr>
          <w:p w14:paraId="22770BCB" w14:textId="0220143C" w:rsidR="00C762DD" w:rsidRPr="00C762DD" w:rsidRDefault="00C762DD" w:rsidP="00C762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C762DD">
              <w:rPr>
                <w:rFonts w:asciiTheme="minorHAnsi" w:hAnsiTheme="minorHAnsi" w:cstheme="minorHAnsi"/>
                <w:szCs w:val="19"/>
                <w:lang w:val="sk-SK"/>
              </w:rPr>
              <w:t>Počet podporených areálov MŠ</w:t>
            </w:r>
          </w:p>
        </w:tc>
        <w:tc>
          <w:tcPr>
            <w:tcW w:w="6465" w:type="dxa"/>
          </w:tcPr>
          <w:p w14:paraId="4C0C274A" w14:textId="23B4FA98" w:rsidR="00C762DD" w:rsidRPr="00C762DD" w:rsidRDefault="00C762DD" w:rsidP="00C762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C762DD">
              <w:rPr>
                <w:rFonts w:asciiTheme="minorHAnsi" w:hAnsiTheme="minorHAnsi" w:cstheme="minorHAnsi"/>
                <w:szCs w:val="19"/>
                <w:lang w:val="sk-SK"/>
              </w:rPr>
              <w:t>Počet podporených areálov materskej školy vrátane stavebno-technických úprav rôzneho druhu (napr. detské ihriská, športové zariadenia, záhrady)</w:t>
            </w:r>
          </w:p>
        </w:tc>
        <w:tc>
          <w:tcPr>
            <w:tcW w:w="1037" w:type="dxa"/>
          </w:tcPr>
          <w:p w14:paraId="094C12BC" w14:textId="70FE66EB" w:rsidR="00C762DD" w:rsidRPr="00C762DD" w:rsidRDefault="00C762DD" w:rsidP="00C762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C762DD">
              <w:rPr>
                <w:rFonts w:asciiTheme="minorHAnsi" w:hAnsiTheme="minorHAnsi" w:cstheme="minorHAnsi"/>
                <w:szCs w:val="19"/>
                <w:lang w:val="sk-SK"/>
              </w:rPr>
              <w:t>počet</w:t>
            </w:r>
          </w:p>
        </w:tc>
        <w:tc>
          <w:tcPr>
            <w:tcW w:w="858" w:type="dxa"/>
          </w:tcPr>
          <w:p w14:paraId="46776966" w14:textId="6ABF4413" w:rsidR="00C762DD" w:rsidRPr="00C762DD" w:rsidRDefault="00C762DD" w:rsidP="00C762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C762DD">
              <w:rPr>
                <w:rFonts w:asciiTheme="minorHAnsi" w:hAnsiTheme="minorHAnsi" w:cstheme="minorHAnsi"/>
                <w:szCs w:val="19"/>
                <w:lang w:val="sk-SK"/>
              </w:rPr>
              <w:t>K</w:t>
            </w:r>
          </w:p>
        </w:tc>
        <w:tc>
          <w:tcPr>
            <w:tcW w:w="1196" w:type="dxa"/>
          </w:tcPr>
          <w:p w14:paraId="6E13433F" w14:textId="46A36CBC" w:rsidR="00C762DD" w:rsidRDefault="00C762DD" w:rsidP="00C762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Pr>
                <w:rFonts w:asciiTheme="minorHAnsi" w:hAnsiTheme="minorHAnsi" w:cstheme="minorHAnsi"/>
                <w:szCs w:val="19"/>
                <w:lang w:val="sk-SK"/>
              </w:rPr>
              <w:t>bez príznaku</w:t>
            </w:r>
          </w:p>
        </w:tc>
        <w:tc>
          <w:tcPr>
            <w:tcW w:w="1341" w:type="dxa"/>
          </w:tcPr>
          <w:p w14:paraId="7407B5E1" w14:textId="068F4E5A" w:rsidR="00C762DD" w:rsidRPr="00E1631A" w:rsidRDefault="00C762DD" w:rsidP="00C762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val="sk-SK"/>
              </w:rPr>
            </w:pPr>
            <w:r w:rsidRPr="00E1631A">
              <w:rPr>
                <w:rFonts w:asciiTheme="minorHAnsi" w:hAnsiTheme="minorHAnsi" w:cstheme="minorHAnsi"/>
                <w:szCs w:val="19"/>
                <w:lang w:val="sk-SK"/>
              </w:rPr>
              <w:t>UR, RN</w:t>
            </w:r>
          </w:p>
        </w:tc>
      </w:tr>
    </w:tbl>
    <w:p w14:paraId="1C593775" w14:textId="0FD9345A" w:rsidR="007A15BF" w:rsidRPr="00D26E47" w:rsidRDefault="007A15BF" w:rsidP="007A15BF">
      <w:pPr>
        <w:rPr>
          <w:rFonts w:asciiTheme="minorHAnsi" w:hAnsiTheme="minorHAnsi" w:cstheme="minorHAnsi"/>
          <w:b/>
          <w:sz w:val="16"/>
          <w:szCs w:val="16"/>
          <w:lang w:val="sk-SK"/>
        </w:rPr>
      </w:pPr>
      <w:r w:rsidRPr="00D26E47">
        <w:rPr>
          <w:rFonts w:asciiTheme="minorHAnsi" w:hAnsiTheme="minorHAnsi" w:cstheme="minorHAnsi"/>
          <w:b/>
          <w:sz w:val="16"/>
          <w:szCs w:val="16"/>
          <w:lang w:val="sk-SK"/>
        </w:rPr>
        <w:t>Legenda:</w:t>
      </w:r>
    </w:p>
    <w:p w14:paraId="1DF28630" w14:textId="77777777" w:rsidR="007A15BF" w:rsidRPr="00D26E47" w:rsidRDefault="007A15BF" w:rsidP="007A15BF">
      <w:pPr>
        <w:rPr>
          <w:rFonts w:asciiTheme="minorHAnsi" w:hAnsiTheme="minorHAnsi" w:cstheme="minorHAnsi"/>
          <w:sz w:val="16"/>
          <w:szCs w:val="16"/>
          <w:lang w:val="sk-SK"/>
        </w:rPr>
      </w:pPr>
      <w:r w:rsidRPr="00D26E47">
        <w:rPr>
          <w:rFonts w:asciiTheme="minorHAnsi" w:hAnsiTheme="minorHAnsi" w:cstheme="minorHAnsi"/>
          <w:sz w:val="16"/>
          <w:szCs w:val="16"/>
          <w:lang w:val="sk-SK"/>
        </w:rPr>
        <w:t>Čas plnenia (rok vykazovania hodnoty MU)</w:t>
      </w:r>
    </w:p>
    <w:p w14:paraId="7C12B441" w14:textId="77777777" w:rsidR="007A15BF" w:rsidRPr="00D26E47" w:rsidRDefault="007A15BF" w:rsidP="007A15BF">
      <w:pPr>
        <w:tabs>
          <w:tab w:val="left" w:pos="284"/>
        </w:tabs>
        <w:spacing w:before="120"/>
        <w:rPr>
          <w:rFonts w:asciiTheme="minorHAnsi" w:hAnsiTheme="minorHAnsi" w:cstheme="minorHAnsi"/>
          <w:sz w:val="16"/>
          <w:szCs w:val="16"/>
          <w:lang w:val="sk-SK"/>
        </w:rPr>
      </w:pPr>
      <w:r w:rsidRPr="00D26E47">
        <w:rPr>
          <w:rFonts w:asciiTheme="minorHAnsi" w:hAnsiTheme="minorHAnsi" w:cstheme="minorHAnsi"/>
          <w:sz w:val="16"/>
          <w:szCs w:val="16"/>
          <w:lang w:val="sk-SK"/>
        </w:rPr>
        <w:tab/>
        <w:t>K - koniec realizácie projektu</w:t>
      </w:r>
    </w:p>
    <w:p w14:paraId="749A1320" w14:textId="77777777" w:rsidR="007A15BF" w:rsidRPr="00D26E47" w:rsidRDefault="007A15BF" w:rsidP="007A15BF">
      <w:pPr>
        <w:tabs>
          <w:tab w:val="left" w:pos="284"/>
        </w:tabs>
        <w:rPr>
          <w:rFonts w:asciiTheme="minorHAnsi" w:hAnsiTheme="minorHAnsi" w:cstheme="minorHAnsi"/>
          <w:sz w:val="16"/>
          <w:szCs w:val="16"/>
          <w:lang w:val="sk-SK"/>
        </w:rPr>
      </w:pPr>
      <w:r w:rsidRPr="00D26E47">
        <w:rPr>
          <w:rFonts w:asciiTheme="minorHAnsi" w:hAnsiTheme="minorHAnsi" w:cstheme="minorHAnsi"/>
          <w:sz w:val="16"/>
          <w:szCs w:val="16"/>
          <w:lang w:val="sk-SK"/>
        </w:rPr>
        <w:tab/>
        <w:t>U - v rámci udržateľnosti projektu</w:t>
      </w:r>
    </w:p>
    <w:p w14:paraId="63BB1D20" w14:textId="77777777" w:rsidR="007A15BF" w:rsidRPr="00D26E47" w:rsidRDefault="007A15BF" w:rsidP="007A15BF">
      <w:pPr>
        <w:rPr>
          <w:sz w:val="16"/>
          <w:szCs w:val="16"/>
          <w:lang w:val="sk-SK"/>
        </w:rPr>
      </w:pPr>
    </w:p>
    <w:p w14:paraId="3FB93C84" w14:textId="1DD15681" w:rsidR="005F1F14" w:rsidRPr="00D26E47" w:rsidRDefault="005F1F14" w:rsidP="007A15BF">
      <w:pPr>
        <w:rPr>
          <w:sz w:val="16"/>
          <w:szCs w:val="16"/>
          <w:lang w:val="sk-SK"/>
        </w:rPr>
      </w:pPr>
      <w:r w:rsidRPr="00D26E47">
        <w:rPr>
          <w:sz w:val="16"/>
          <w:szCs w:val="16"/>
          <w:lang w:val="sk-SK"/>
        </w:rPr>
        <w:lastRenderedPageBreak/>
        <w:t>Relevantnosť k HP</w:t>
      </w:r>
    </w:p>
    <w:p w14:paraId="40536134" w14:textId="427C6898" w:rsidR="005F1F14" w:rsidRPr="00D26E47" w:rsidRDefault="005F1F14" w:rsidP="005F1F14">
      <w:pPr>
        <w:spacing w:before="120"/>
        <w:ind w:firstLine="284"/>
        <w:rPr>
          <w:sz w:val="16"/>
          <w:szCs w:val="16"/>
          <w:lang w:val="sk-SK"/>
        </w:rPr>
      </w:pPr>
      <w:r w:rsidRPr="00D26E47">
        <w:rPr>
          <w:sz w:val="16"/>
          <w:szCs w:val="16"/>
          <w:lang w:val="sk-SK"/>
        </w:rPr>
        <w:t>RN – relevantné pre HP Podpora rovnosti mužov a žien a nediskriminácie</w:t>
      </w:r>
    </w:p>
    <w:p w14:paraId="732101C1" w14:textId="4FB84688" w:rsidR="005F1F14" w:rsidRPr="00D26E47" w:rsidRDefault="005F1F14" w:rsidP="005F1F14">
      <w:pPr>
        <w:ind w:firstLine="284"/>
        <w:rPr>
          <w:sz w:val="16"/>
          <w:szCs w:val="16"/>
          <w:lang w:val="sk-SK"/>
        </w:rPr>
      </w:pPr>
      <w:r w:rsidRPr="00D26E47">
        <w:rPr>
          <w:sz w:val="16"/>
          <w:szCs w:val="16"/>
          <w:lang w:val="sk-SK"/>
        </w:rPr>
        <w:t>UR – relevantné pre HP Udržateľný rozvoj</w:t>
      </w:r>
    </w:p>
    <w:sectPr w:rsidR="005F1F14" w:rsidRPr="00D26E47" w:rsidSect="00067320">
      <w:headerReference w:type="default" r:id="rId9"/>
      <w:footerReference w:type="default" r:id="rId10"/>
      <w:pgSz w:w="16838" w:h="11906" w:orient="landscape"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2CE4C" w14:textId="77777777" w:rsidR="00267A34" w:rsidRDefault="00267A34">
      <w:r>
        <w:separator/>
      </w:r>
    </w:p>
    <w:p w14:paraId="4E60FB19" w14:textId="77777777" w:rsidR="00267A34" w:rsidRDefault="00267A34"/>
  </w:endnote>
  <w:endnote w:type="continuationSeparator" w:id="0">
    <w:p w14:paraId="4DD14AB3" w14:textId="77777777" w:rsidR="00267A34" w:rsidRDefault="00267A34">
      <w:r>
        <w:continuationSeparator/>
      </w:r>
    </w:p>
    <w:p w14:paraId="712BA2F2" w14:textId="77777777" w:rsidR="00267A34" w:rsidRDefault="0026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165D" w14:textId="77777777" w:rsidR="002A571E" w:rsidRDefault="002A571E" w:rsidP="002A571E">
    <w:pPr>
      <w:pStyle w:val="Hlavika"/>
      <w:tabs>
        <w:tab w:val="left" w:pos="709"/>
      </w:tabs>
      <w:rPr>
        <w:lang w:val="sk-SK"/>
      </w:rPr>
    </w:pPr>
  </w:p>
  <w:p w14:paraId="0C13DF3B" w14:textId="77777777" w:rsidR="002A571E" w:rsidRPr="004B5E52" w:rsidRDefault="002A571E" w:rsidP="002A571E">
    <w:pPr>
      <w:pStyle w:val="Hlavika"/>
      <w:tabs>
        <w:tab w:val="left" w:pos="709"/>
      </w:tabs>
      <w:rPr>
        <w:lang w:val="sk-SK"/>
      </w:rPr>
    </w:pPr>
  </w:p>
  <w:p w14:paraId="71678E0E" w14:textId="77777777" w:rsidR="00A27A2C" w:rsidRPr="003530AF" w:rsidRDefault="00A27A2C" w:rsidP="002A571E">
    <w:pPr>
      <w:pStyle w:val="Pt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019D" w14:textId="77777777" w:rsidR="00267A34" w:rsidRDefault="00267A34">
      <w:r>
        <w:separator/>
      </w:r>
    </w:p>
    <w:p w14:paraId="1233CFDC" w14:textId="77777777" w:rsidR="00267A34" w:rsidRDefault="00267A34"/>
  </w:footnote>
  <w:footnote w:type="continuationSeparator" w:id="0">
    <w:p w14:paraId="3FC92761" w14:textId="77777777" w:rsidR="00267A34" w:rsidRDefault="00267A34">
      <w:r>
        <w:continuationSeparator/>
      </w:r>
    </w:p>
    <w:p w14:paraId="22F88B88" w14:textId="77777777" w:rsidR="00267A34" w:rsidRDefault="00267A34"/>
  </w:footnote>
  <w:footnote w:id="1">
    <w:p w14:paraId="6C705045" w14:textId="0EE53DA5" w:rsidR="00FB6FC4" w:rsidRPr="005D6B23" w:rsidRDefault="00FB6FC4">
      <w:pPr>
        <w:pStyle w:val="Textpoznmkypodiarou"/>
        <w:rPr>
          <w:lang w:val="sk-SK"/>
        </w:rPr>
      </w:pPr>
      <w:r>
        <w:rPr>
          <w:rStyle w:val="Odkaznapoznmkupodiarou"/>
        </w:rPr>
        <w:footnoteRef/>
      </w:r>
      <w:r>
        <w:t xml:space="preserve"> </w:t>
      </w:r>
      <w:r>
        <w:rPr>
          <w:lang w:val="sk-SK"/>
        </w:rPr>
        <w:t>Vo výnimočných prípadoch, kedy z objektívnych dôvodov (napr. rozširovanie kapacít bez stavebno-technických úprav, pri výstavbe nových objektov, k prístavbe/nadstavbe k objektom spĺňajúcim požiadavky na energetickú hospodárnosť, a pod.) nedochádza k úspore spotreby primárnej energie je prípustná aj nulová výsledná hodnota.</w:t>
      </w:r>
    </w:p>
  </w:footnote>
  <w:footnote w:id="2">
    <w:p w14:paraId="0D0B8B22" w14:textId="044EC619" w:rsidR="00FB6FC4" w:rsidRPr="005D6B23" w:rsidRDefault="00FB6FC4" w:rsidP="005D6B23">
      <w:pPr>
        <w:pStyle w:val="Textpoznmkypodiarou"/>
        <w:rPr>
          <w:lang w:val="sk-SK"/>
        </w:rPr>
      </w:pPr>
      <w:r>
        <w:rPr>
          <w:rStyle w:val="Odkaznapoznmkupodiarou"/>
        </w:rPr>
        <w:footnoteRef/>
      </w:r>
      <w:r>
        <w:t xml:space="preserve"> </w:t>
      </w:r>
      <w:r>
        <w:rPr>
          <w:lang w:val="sk-SK"/>
        </w:rPr>
        <w:t>Vo výnimočných prípadoch, kedy z objektívnych dôvodov (napr. rozširovanie kapacít bez stavebno-technických úprav, pri výstavbe nových objektov a pod.) nedochádza k zníženiu emisií  skleníkových plynov je prípustná aj nulová výsledná hodnota.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17DA" w14:textId="2DA570D2" w:rsidR="00692C0C" w:rsidRDefault="00692C0C" w:rsidP="00692C0C">
    <w:pPr>
      <w:pStyle w:val="Hlavika"/>
      <w:tabs>
        <w:tab w:val="left" w:pos="1977"/>
      </w:tabs>
      <w:ind w:firstLine="1977"/>
    </w:pPr>
    <w:r>
      <w:rPr>
        <w:noProof/>
        <w:lang w:val="sk-SK" w:eastAsia="sk-SK"/>
      </w:rPr>
      <w:drawing>
        <wp:anchor distT="0" distB="0" distL="114300" distR="114300" simplePos="0" relativeHeight="251660288" behindDoc="1" locked="0" layoutInCell="1" allowOverlap="1" wp14:anchorId="56DEEEF5" wp14:editId="14467334">
          <wp:simplePos x="0" y="0"/>
          <wp:positionH relativeFrom="column">
            <wp:posOffset>7127240</wp:posOffset>
          </wp:positionH>
          <wp:positionV relativeFrom="paragraph">
            <wp:posOffset>-106680</wp:posOffset>
          </wp:positionV>
          <wp:extent cx="1647825" cy="457200"/>
          <wp:effectExtent l="0" t="0" r="9525" b="0"/>
          <wp:wrapNone/>
          <wp:docPr id="1" name="Obrázok 1" descr="http://www.opotravinach.sk/app/webroot/files/talk_files/MP_web%20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potravinach.sk/app/webroot/files/talk_files/MP_web%20maly.jpg"/>
                  <pic:cNvPicPr>
                    <a:picLocks noChangeAspect="1" noChangeArrowheads="1"/>
                  </pic:cNvPicPr>
                </pic:nvPicPr>
                <pic:blipFill>
                  <a:blip r:embed="rId1">
                    <a:extLst>
                      <a:ext uri="{28A0092B-C50C-407E-A947-70E740481C1C}">
                        <a14:useLocalDpi xmlns:a14="http://schemas.microsoft.com/office/drawing/2010/main" val="0"/>
                      </a:ext>
                    </a:extLst>
                  </a:blip>
                  <a:srcRect t="22073" b="30769"/>
                  <a:stretch>
                    <a:fillRect/>
                  </a:stretch>
                </pic:blipFill>
                <pic:spPr bwMode="auto">
                  <a:xfrm>
                    <a:off x="0" y="0"/>
                    <a:ext cx="164782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59264" behindDoc="0" locked="0" layoutInCell="1" allowOverlap="1" wp14:anchorId="0CB35560" wp14:editId="3EE5E31C">
          <wp:simplePos x="0" y="0"/>
          <wp:positionH relativeFrom="column">
            <wp:posOffset>522605</wp:posOffset>
          </wp:positionH>
          <wp:positionV relativeFrom="paragraph">
            <wp:posOffset>-81280</wp:posOffset>
          </wp:positionV>
          <wp:extent cx="621665" cy="431800"/>
          <wp:effectExtent l="0" t="0" r="6985" b="635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Európska</w:t>
    </w:r>
    <w:proofErr w:type="spellEnd"/>
    <w:r>
      <w:t xml:space="preserve"> </w:t>
    </w:r>
    <w:proofErr w:type="spellStart"/>
    <w:r>
      <w:t>únia</w:t>
    </w:r>
    <w:proofErr w:type="spellEnd"/>
  </w:p>
  <w:p w14:paraId="36D9E0C9" w14:textId="77777777" w:rsidR="00692C0C" w:rsidRDefault="00692C0C" w:rsidP="00692C0C">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14:paraId="5F9149A6" w14:textId="77777777" w:rsidR="00692C0C" w:rsidRDefault="00692C0C" w:rsidP="00692C0C">
    <w:pPr>
      <w:pStyle w:val="Hlavika"/>
      <w:tabs>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14:paraId="63C33BD8" w14:textId="77777777" w:rsidR="00692C0C" w:rsidRDefault="00692C0C" w:rsidP="00692C0C">
    <w:pPr>
      <w:pStyle w:val="Hlavika"/>
    </w:pPr>
  </w:p>
  <w:p w14:paraId="1C59882F" w14:textId="5550A194" w:rsidR="00A27A2C" w:rsidRPr="00692C0C" w:rsidRDefault="00A27A2C" w:rsidP="00692C0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B820FE"/>
    <w:multiLevelType w:val="hybridMultilevel"/>
    <w:tmpl w:val="84BCAE20"/>
    <w:lvl w:ilvl="0" w:tplc="E9341AF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7"/>
  </w:num>
  <w:num w:numId="4">
    <w:abstractNumId w:val="29"/>
  </w:num>
  <w:num w:numId="5">
    <w:abstractNumId w:val="15"/>
  </w:num>
  <w:num w:numId="6">
    <w:abstractNumId w:val="17"/>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0"/>
  </w:num>
  <w:num w:numId="26">
    <w:abstractNumId w:val="25"/>
  </w:num>
  <w:num w:numId="27">
    <w:abstractNumId w:val="22"/>
  </w:num>
  <w:num w:numId="28">
    <w:abstractNumId w:val="16"/>
  </w:num>
  <w:num w:numId="29">
    <w:abstractNumId w:val="26"/>
  </w:num>
  <w:num w:numId="30">
    <w:abstractNumId w:val="24"/>
  </w:num>
  <w:num w:numId="31">
    <w:abstractNumId w:val="13"/>
  </w:num>
  <w:num w:numId="32">
    <w:abstractNumId w:val="21"/>
  </w:num>
  <w:num w:numId="33">
    <w:abstractNumId w:val="28"/>
  </w:num>
  <w:num w:numId="34">
    <w:abstractNumId w:val="12"/>
  </w:num>
  <w:num w:numId="35">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52"/>
    <w:rsid w:val="000016A5"/>
    <w:rsid w:val="00020A5B"/>
    <w:rsid w:val="00022A85"/>
    <w:rsid w:val="00030C5B"/>
    <w:rsid w:val="00037AA2"/>
    <w:rsid w:val="00067320"/>
    <w:rsid w:val="00070FC4"/>
    <w:rsid w:val="00071987"/>
    <w:rsid w:val="00074D2F"/>
    <w:rsid w:val="0007555C"/>
    <w:rsid w:val="00075C1E"/>
    <w:rsid w:val="0008794A"/>
    <w:rsid w:val="00095956"/>
    <w:rsid w:val="00095FE3"/>
    <w:rsid w:val="000A25AE"/>
    <w:rsid w:val="000A3642"/>
    <w:rsid w:val="000B024D"/>
    <w:rsid w:val="000B7751"/>
    <w:rsid w:val="000C07D2"/>
    <w:rsid w:val="000D7DB9"/>
    <w:rsid w:val="000E7781"/>
    <w:rsid w:val="0011692E"/>
    <w:rsid w:val="001206DF"/>
    <w:rsid w:val="0012336B"/>
    <w:rsid w:val="00137B33"/>
    <w:rsid w:val="00143AD7"/>
    <w:rsid w:val="001452B6"/>
    <w:rsid w:val="00146657"/>
    <w:rsid w:val="0017198C"/>
    <w:rsid w:val="00174AFE"/>
    <w:rsid w:val="00182989"/>
    <w:rsid w:val="00182C05"/>
    <w:rsid w:val="001A19F7"/>
    <w:rsid w:val="001A3801"/>
    <w:rsid w:val="001A4B95"/>
    <w:rsid w:val="001A4E24"/>
    <w:rsid w:val="001B6E17"/>
    <w:rsid w:val="001C2EF4"/>
    <w:rsid w:val="001D62D0"/>
    <w:rsid w:val="001F0C13"/>
    <w:rsid w:val="002066F3"/>
    <w:rsid w:val="00207FCC"/>
    <w:rsid w:val="00210E5E"/>
    <w:rsid w:val="00213203"/>
    <w:rsid w:val="00213D5F"/>
    <w:rsid w:val="00220042"/>
    <w:rsid w:val="00225841"/>
    <w:rsid w:val="00235D74"/>
    <w:rsid w:val="00236144"/>
    <w:rsid w:val="0024576C"/>
    <w:rsid w:val="00253BF6"/>
    <w:rsid w:val="002557C9"/>
    <w:rsid w:val="00260A1D"/>
    <w:rsid w:val="00267A34"/>
    <w:rsid w:val="002705B2"/>
    <w:rsid w:val="00272EE5"/>
    <w:rsid w:val="00274E01"/>
    <w:rsid w:val="002A053C"/>
    <w:rsid w:val="002A2D62"/>
    <w:rsid w:val="002A571E"/>
    <w:rsid w:val="002D5FCD"/>
    <w:rsid w:val="002D7602"/>
    <w:rsid w:val="002E32BC"/>
    <w:rsid w:val="002E3EC9"/>
    <w:rsid w:val="003038D5"/>
    <w:rsid w:val="0031390F"/>
    <w:rsid w:val="0031599A"/>
    <w:rsid w:val="003530AF"/>
    <w:rsid w:val="00360EB6"/>
    <w:rsid w:val="00362B75"/>
    <w:rsid w:val="00362BC5"/>
    <w:rsid w:val="00375271"/>
    <w:rsid w:val="00392F8B"/>
    <w:rsid w:val="00392FE4"/>
    <w:rsid w:val="00394C79"/>
    <w:rsid w:val="003977EF"/>
    <w:rsid w:val="003A1398"/>
    <w:rsid w:val="003D424B"/>
    <w:rsid w:val="003D6630"/>
    <w:rsid w:val="003F18CD"/>
    <w:rsid w:val="003F22DC"/>
    <w:rsid w:val="003F2A52"/>
    <w:rsid w:val="0040246A"/>
    <w:rsid w:val="00402DEA"/>
    <w:rsid w:val="004040B0"/>
    <w:rsid w:val="004169EC"/>
    <w:rsid w:val="0042148A"/>
    <w:rsid w:val="004257D7"/>
    <w:rsid w:val="0043179F"/>
    <w:rsid w:val="00441746"/>
    <w:rsid w:val="00460483"/>
    <w:rsid w:val="0047689F"/>
    <w:rsid w:val="00496B11"/>
    <w:rsid w:val="00496CE1"/>
    <w:rsid w:val="004A531E"/>
    <w:rsid w:val="004A6C86"/>
    <w:rsid w:val="004B4FFD"/>
    <w:rsid w:val="004B53E6"/>
    <w:rsid w:val="004B5E52"/>
    <w:rsid w:val="004B67CC"/>
    <w:rsid w:val="00505FF4"/>
    <w:rsid w:val="005131FA"/>
    <w:rsid w:val="00532D0A"/>
    <w:rsid w:val="0057284A"/>
    <w:rsid w:val="00575658"/>
    <w:rsid w:val="00582B72"/>
    <w:rsid w:val="0058647B"/>
    <w:rsid w:val="0059250E"/>
    <w:rsid w:val="005936FF"/>
    <w:rsid w:val="005B4CAD"/>
    <w:rsid w:val="005D4BD3"/>
    <w:rsid w:val="005D670E"/>
    <w:rsid w:val="005D6B23"/>
    <w:rsid w:val="005F0693"/>
    <w:rsid w:val="005F1143"/>
    <w:rsid w:val="005F1F14"/>
    <w:rsid w:val="00606BC7"/>
    <w:rsid w:val="00610E17"/>
    <w:rsid w:val="00624DC2"/>
    <w:rsid w:val="006328F5"/>
    <w:rsid w:val="00635BB8"/>
    <w:rsid w:val="00654D6A"/>
    <w:rsid w:val="006620EF"/>
    <w:rsid w:val="00670284"/>
    <w:rsid w:val="0068463D"/>
    <w:rsid w:val="006859B7"/>
    <w:rsid w:val="00692C0C"/>
    <w:rsid w:val="006A494E"/>
    <w:rsid w:val="006A67A4"/>
    <w:rsid w:val="006C296C"/>
    <w:rsid w:val="006D02FC"/>
    <w:rsid w:val="006D04D1"/>
    <w:rsid w:val="006D6107"/>
    <w:rsid w:val="006E77A8"/>
    <w:rsid w:val="006F2C90"/>
    <w:rsid w:val="006F6C05"/>
    <w:rsid w:val="006F71E5"/>
    <w:rsid w:val="007021D8"/>
    <w:rsid w:val="00711003"/>
    <w:rsid w:val="00723D00"/>
    <w:rsid w:val="00726878"/>
    <w:rsid w:val="00726CE6"/>
    <w:rsid w:val="00726FE1"/>
    <w:rsid w:val="00750341"/>
    <w:rsid w:val="00755063"/>
    <w:rsid w:val="00763237"/>
    <w:rsid w:val="00774238"/>
    <w:rsid w:val="00777B34"/>
    <w:rsid w:val="00781B17"/>
    <w:rsid w:val="00781C83"/>
    <w:rsid w:val="0078250C"/>
    <w:rsid w:val="00783127"/>
    <w:rsid w:val="007877D4"/>
    <w:rsid w:val="0079594D"/>
    <w:rsid w:val="007A15BF"/>
    <w:rsid w:val="007A1AEE"/>
    <w:rsid w:val="007A44D3"/>
    <w:rsid w:val="007D22CE"/>
    <w:rsid w:val="007D3B89"/>
    <w:rsid w:val="007E7A8F"/>
    <w:rsid w:val="007F11EE"/>
    <w:rsid w:val="008201A2"/>
    <w:rsid w:val="00847CA7"/>
    <w:rsid w:val="008503A8"/>
    <w:rsid w:val="00856B36"/>
    <w:rsid w:val="00860775"/>
    <w:rsid w:val="00875E04"/>
    <w:rsid w:val="008A7E44"/>
    <w:rsid w:val="008B232F"/>
    <w:rsid w:val="008B2E3C"/>
    <w:rsid w:val="008B3AF0"/>
    <w:rsid w:val="008B3E76"/>
    <w:rsid w:val="008B4AC0"/>
    <w:rsid w:val="008C35E7"/>
    <w:rsid w:val="008C3FA4"/>
    <w:rsid w:val="008C5EDC"/>
    <w:rsid w:val="008E4E07"/>
    <w:rsid w:val="008E6769"/>
    <w:rsid w:val="008E7ED1"/>
    <w:rsid w:val="008F4C12"/>
    <w:rsid w:val="00900826"/>
    <w:rsid w:val="0090183B"/>
    <w:rsid w:val="00907754"/>
    <w:rsid w:val="0091097D"/>
    <w:rsid w:val="009178E1"/>
    <w:rsid w:val="0093353B"/>
    <w:rsid w:val="00935030"/>
    <w:rsid w:val="00956973"/>
    <w:rsid w:val="009621A9"/>
    <w:rsid w:val="00962584"/>
    <w:rsid w:val="00984B93"/>
    <w:rsid w:val="00991839"/>
    <w:rsid w:val="009D0EC2"/>
    <w:rsid w:val="009D150B"/>
    <w:rsid w:val="009D7ED9"/>
    <w:rsid w:val="009E21D5"/>
    <w:rsid w:val="009F568A"/>
    <w:rsid w:val="00A0681B"/>
    <w:rsid w:val="00A06919"/>
    <w:rsid w:val="00A27A2C"/>
    <w:rsid w:val="00A40230"/>
    <w:rsid w:val="00A40C7D"/>
    <w:rsid w:val="00A81CF2"/>
    <w:rsid w:val="00A97651"/>
    <w:rsid w:val="00AC292D"/>
    <w:rsid w:val="00AD23C9"/>
    <w:rsid w:val="00AD41A1"/>
    <w:rsid w:val="00AE0D5E"/>
    <w:rsid w:val="00AE5FAD"/>
    <w:rsid w:val="00B12C89"/>
    <w:rsid w:val="00B20785"/>
    <w:rsid w:val="00B219B5"/>
    <w:rsid w:val="00B238EE"/>
    <w:rsid w:val="00B26AB7"/>
    <w:rsid w:val="00B26B5C"/>
    <w:rsid w:val="00B3675D"/>
    <w:rsid w:val="00B56763"/>
    <w:rsid w:val="00B60C55"/>
    <w:rsid w:val="00B670CC"/>
    <w:rsid w:val="00B8478F"/>
    <w:rsid w:val="00BB2B77"/>
    <w:rsid w:val="00BB3322"/>
    <w:rsid w:val="00BB45CE"/>
    <w:rsid w:val="00BB71C5"/>
    <w:rsid w:val="00BE6734"/>
    <w:rsid w:val="00BF08A8"/>
    <w:rsid w:val="00C41302"/>
    <w:rsid w:val="00C444B3"/>
    <w:rsid w:val="00C4496F"/>
    <w:rsid w:val="00C60815"/>
    <w:rsid w:val="00C762DD"/>
    <w:rsid w:val="00C97A0D"/>
    <w:rsid w:val="00CA01E2"/>
    <w:rsid w:val="00CB0293"/>
    <w:rsid w:val="00CB40D6"/>
    <w:rsid w:val="00CC08EE"/>
    <w:rsid w:val="00CD44BA"/>
    <w:rsid w:val="00CD7E26"/>
    <w:rsid w:val="00CE00BE"/>
    <w:rsid w:val="00CE77E6"/>
    <w:rsid w:val="00D1104D"/>
    <w:rsid w:val="00D26E47"/>
    <w:rsid w:val="00D80710"/>
    <w:rsid w:val="00DB4DF5"/>
    <w:rsid w:val="00DC6C4A"/>
    <w:rsid w:val="00DD431E"/>
    <w:rsid w:val="00DE50F2"/>
    <w:rsid w:val="00DF1310"/>
    <w:rsid w:val="00DF22A0"/>
    <w:rsid w:val="00DF4F49"/>
    <w:rsid w:val="00E07D28"/>
    <w:rsid w:val="00E1631A"/>
    <w:rsid w:val="00E23F79"/>
    <w:rsid w:val="00E2425D"/>
    <w:rsid w:val="00E25E6F"/>
    <w:rsid w:val="00E421C0"/>
    <w:rsid w:val="00E42428"/>
    <w:rsid w:val="00E42491"/>
    <w:rsid w:val="00E425C2"/>
    <w:rsid w:val="00E4734A"/>
    <w:rsid w:val="00E65A60"/>
    <w:rsid w:val="00E70644"/>
    <w:rsid w:val="00E8151A"/>
    <w:rsid w:val="00E91EAE"/>
    <w:rsid w:val="00ED39F8"/>
    <w:rsid w:val="00ED6B25"/>
    <w:rsid w:val="00EE0B0C"/>
    <w:rsid w:val="00EE5076"/>
    <w:rsid w:val="00EE67A7"/>
    <w:rsid w:val="00F0558E"/>
    <w:rsid w:val="00F06DA9"/>
    <w:rsid w:val="00F1784D"/>
    <w:rsid w:val="00F17F4C"/>
    <w:rsid w:val="00F2676F"/>
    <w:rsid w:val="00F35321"/>
    <w:rsid w:val="00F433F7"/>
    <w:rsid w:val="00F56781"/>
    <w:rsid w:val="00F60038"/>
    <w:rsid w:val="00F62292"/>
    <w:rsid w:val="00F65BCE"/>
    <w:rsid w:val="00F85DDA"/>
    <w:rsid w:val="00F93335"/>
    <w:rsid w:val="00FB533A"/>
    <w:rsid w:val="00FB6FC4"/>
    <w:rsid w:val="00FC20E3"/>
    <w:rsid w:val="00FC2858"/>
    <w:rsid w:val="00FC41B7"/>
    <w:rsid w:val="00FD0672"/>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4B5E52"/>
    <w:rPr>
      <w:sz w:val="20"/>
      <w:szCs w:val="20"/>
    </w:rPr>
  </w:style>
  <w:style w:type="character" w:customStyle="1" w:styleId="TextkomentraChar">
    <w:name w:val="Text komentára Char"/>
    <w:basedOn w:val="Predvolenpsmoodseku"/>
    <w:link w:val="Textkomentra"/>
    <w:rsid w:val="004B5E52"/>
    <w:rPr>
      <w:rFonts w:ascii="Arial" w:hAnsi="Arial"/>
    </w:rPr>
  </w:style>
  <w:style w:type="character" w:styleId="Odkaznakomentr">
    <w:name w:val="annotation reference"/>
    <w:basedOn w:val="Predvolenpsmoodseku"/>
    <w:unhideWhenUsed/>
    <w:rsid w:val="004B5E52"/>
    <w:rPr>
      <w:sz w:val="16"/>
      <w:szCs w:val="16"/>
    </w:rPr>
  </w:style>
  <w:style w:type="table" w:customStyle="1" w:styleId="Deloittetable21">
    <w:name w:val="Deloitte table 21"/>
    <w:basedOn w:val="Normlnatabuka"/>
    <w:rsid w:val="004B5E52"/>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Predmetkomentra">
    <w:name w:val="annotation subject"/>
    <w:basedOn w:val="Textkomentra"/>
    <w:next w:val="Textkomentra"/>
    <w:link w:val="PredmetkomentraChar"/>
    <w:rsid w:val="00225841"/>
    <w:rPr>
      <w:b/>
      <w:bCs/>
    </w:rPr>
  </w:style>
  <w:style w:type="character" w:customStyle="1" w:styleId="PredmetkomentraChar">
    <w:name w:val="Predmet komentára Char"/>
    <w:basedOn w:val="TextkomentraChar"/>
    <w:link w:val="Predmetkomentra"/>
    <w:rsid w:val="00225841"/>
    <w:rPr>
      <w:rFonts w:ascii="Arial" w:hAnsi="Arial"/>
      <w:b/>
      <w:bCs/>
    </w:rPr>
  </w:style>
  <w:style w:type="paragraph" w:styleId="Odsekzoznamu">
    <w:name w:val="List Paragraph"/>
    <w:aliases w:val="body,Odsek zoznamu2"/>
    <w:basedOn w:val="Normlny"/>
    <w:link w:val="OdsekzoznamuChar"/>
    <w:uiPriority w:val="34"/>
    <w:qFormat/>
    <w:rsid w:val="001D62D0"/>
    <w:pPr>
      <w:ind w:left="720"/>
      <w:contextualSpacing/>
    </w:pPr>
    <w:rPr>
      <w:rFonts w:ascii="Times New Roman" w:hAnsi="Times New Roman"/>
      <w:sz w:val="22"/>
      <w:szCs w:val="20"/>
      <w:lang w:val="sk-SK"/>
    </w:rPr>
  </w:style>
  <w:style w:type="character" w:customStyle="1" w:styleId="OdsekzoznamuChar">
    <w:name w:val="Odsek zoznamu Char"/>
    <w:aliases w:val="body Char,Odsek zoznamu2 Char"/>
    <w:link w:val="Odsekzoznamu"/>
    <w:uiPriority w:val="34"/>
    <w:locked/>
    <w:rsid w:val="001D62D0"/>
    <w:rPr>
      <w:sz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4B5E52"/>
    <w:rPr>
      <w:sz w:val="20"/>
      <w:szCs w:val="20"/>
    </w:rPr>
  </w:style>
  <w:style w:type="character" w:customStyle="1" w:styleId="TextkomentraChar">
    <w:name w:val="Text komentára Char"/>
    <w:basedOn w:val="Predvolenpsmoodseku"/>
    <w:link w:val="Textkomentra"/>
    <w:rsid w:val="004B5E52"/>
    <w:rPr>
      <w:rFonts w:ascii="Arial" w:hAnsi="Arial"/>
    </w:rPr>
  </w:style>
  <w:style w:type="character" w:styleId="Odkaznakomentr">
    <w:name w:val="annotation reference"/>
    <w:basedOn w:val="Predvolenpsmoodseku"/>
    <w:unhideWhenUsed/>
    <w:rsid w:val="004B5E52"/>
    <w:rPr>
      <w:sz w:val="16"/>
      <w:szCs w:val="16"/>
    </w:rPr>
  </w:style>
  <w:style w:type="table" w:customStyle="1" w:styleId="Deloittetable21">
    <w:name w:val="Deloitte table 21"/>
    <w:basedOn w:val="Normlnatabuka"/>
    <w:rsid w:val="004B5E52"/>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Predmetkomentra">
    <w:name w:val="annotation subject"/>
    <w:basedOn w:val="Textkomentra"/>
    <w:next w:val="Textkomentra"/>
    <w:link w:val="PredmetkomentraChar"/>
    <w:rsid w:val="00225841"/>
    <w:rPr>
      <w:b/>
      <w:bCs/>
    </w:rPr>
  </w:style>
  <w:style w:type="character" w:customStyle="1" w:styleId="PredmetkomentraChar">
    <w:name w:val="Predmet komentára Char"/>
    <w:basedOn w:val="TextkomentraChar"/>
    <w:link w:val="Predmetkomentra"/>
    <w:rsid w:val="00225841"/>
    <w:rPr>
      <w:rFonts w:ascii="Arial" w:hAnsi="Arial"/>
      <w:b/>
      <w:bCs/>
    </w:rPr>
  </w:style>
  <w:style w:type="paragraph" w:styleId="Odsekzoznamu">
    <w:name w:val="List Paragraph"/>
    <w:aliases w:val="body,Odsek zoznamu2"/>
    <w:basedOn w:val="Normlny"/>
    <w:link w:val="OdsekzoznamuChar"/>
    <w:uiPriority w:val="34"/>
    <w:qFormat/>
    <w:rsid w:val="001D62D0"/>
    <w:pPr>
      <w:ind w:left="720"/>
      <w:contextualSpacing/>
    </w:pPr>
    <w:rPr>
      <w:rFonts w:ascii="Times New Roman" w:hAnsi="Times New Roman"/>
      <w:sz w:val="22"/>
      <w:szCs w:val="20"/>
      <w:lang w:val="sk-SK"/>
    </w:rPr>
  </w:style>
  <w:style w:type="character" w:customStyle="1" w:styleId="OdsekzoznamuChar">
    <w:name w:val="Odsek zoznamu Char"/>
    <w:aliases w:val="body Char,Odsek zoznamu2 Char"/>
    <w:link w:val="Odsekzoznamu"/>
    <w:uiPriority w:val="34"/>
    <w:locked/>
    <w:rsid w:val="001D62D0"/>
    <w:rPr>
      <w:sz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4">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761296493">
      <w:bodyDiv w:val="1"/>
      <w:marLeft w:val="0"/>
      <w:marRight w:val="0"/>
      <w:marTop w:val="0"/>
      <w:marBottom w:val="0"/>
      <w:divBdr>
        <w:top w:val="none" w:sz="0" w:space="0" w:color="auto"/>
        <w:left w:val="none" w:sz="0" w:space="0" w:color="auto"/>
        <w:bottom w:val="none" w:sz="0" w:space="0" w:color="auto"/>
        <w:right w:val="none" w:sz="0" w:space="0" w:color="auto"/>
      </w:divBdr>
    </w:div>
    <w:div w:id="19206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56CB-4B73-487F-8279-29746041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Roško Jozef</dc:creator>
  <cp:lastModifiedBy>Háber Stanislav</cp:lastModifiedBy>
  <cp:revision>4</cp:revision>
  <cp:lastPrinted>2006-02-10T13:19:00Z</cp:lastPrinted>
  <dcterms:created xsi:type="dcterms:W3CDTF">2016-01-22T13:44:00Z</dcterms:created>
  <dcterms:modified xsi:type="dcterms:W3CDTF">2016-01-28T14:17:00Z</dcterms:modified>
</cp:coreProperties>
</file>