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EF" w:rsidRPr="008C5A0F" w:rsidRDefault="002D30EF" w:rsidP="002D30EF">
      <w:pPr>
        <w:pStyle w:val="Odsekzoznamu"/>
        <w:spacing w:after="0" w:line="240" w:lineRule="auto"/>
        <w:ind w:left="1418" w:right="1139" w:hanging="360"/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8C5A0F">
        <w:rPr>
          <w:rFonts w:ascii="Arial" w:hAnsi="Arial" w:cs="Arial"/>
          <w:b/>
          <w:bCs/>
          <w:sz w:val="24"/>
          <w:szCs w:val="24"/>
          <w:lang w:val="sk-SK"/>
        </w:rPr>
        <w:t>KRITÉRIÁ PRE VÝBER PROJEKTOV - HODNOTIACE KRITÉRIÁ</w:t>
      </w:r>
    </w:p>
    <w:p w:rsidR="002D30EF" w:rsidRPr="008C5A0F" w:rsidRDefault="002D30EF" w:rsidP="002D30EF">
      <w:pPr>
        <w:pStyle w:val="Telo"/>
        <w:ind w:left="1421" w:right="1139"/>
        <w:jc w:val="center"/>
        <w:rPr>
          <w:rFonts w:ascii="Arial" w:hAnsi="Arial" w:cs="Arial"/>
          <w:color w:val="auto"/>
          <w:sz w:val="24"/>
          <w:szCs w:val="24"/>
          <w:lang w:val="sk-SK"/>
        </w:rPr>
      </w:pPr>
      <w:r w:rsidRPr="008C5A0F">
        <w:rPr>
          <w:rFonts w:ascii="Arial" w:hAnsi="Arial" w:cs="Arial"/>
          <w:color w:val="auto"/>
          <w:sz w:val="24"/>
          <w:szCs w:val="24"/>
          <w:lang w:val="sk-SK"/>
        </w:rPr>
        <w:t>pre hodnotenie žiadostí o NFP predložených v rámci</w:t>
      </w:r>
    </w:p>
    <w:p w:rsidR="002D30EF" w:rsidRPr="008C5A0F" w:rsidRDefault="002D30EF" w:rsidP="002D30EF">
      <w:pPr>
        <w:pStyle w:val="Telo"/>
        <w:ind w:left="1421" w:right="1139"/>
        <w:jc w:val="center"/>
        <w:rPr>
          <w:rFonts w:ascii="Arial" w:hAnsi="Arial" w:cs="Arial"/>
          <w:color w:val="auto"/>
          <w:sz w:val="24"/>
          <w:szCs w:val="24"/>
          <w:lang w:val="sk-SK"/>
        </w:rPr>
      </w:pPr>
      <w:r w:rsidRPr="008C5A0F">
        <w:rPr>
          <w:rFonts w:ascii="Arial" w:hAnsi="Arial" w:cs="Arial"/>
          <w:color w:val="auto"/>
          <w:sz w:val="24"/>
          <w:szCs w:val="24"/>
          <w:lang w:val="sk-SK"/>
        </w:rPr>
        <w:t>Integrovaného regionálneho operačného programu</w:t>
      </w:r>
    </w:p>
    <w:p w:rsidR="002D30EF" w:rsidRPr="008C5A0F" w:rsidRDefault="00782154" w:rsidP="002D30EF">
      <w:pPr>
        <w:pStyle w:val="Zkladntext"/>
        <w:spacing w:before="0"/>
        <w:ind w:left="1925" w:right="1640"/>
        <w:jc w:val="center"/>
        <w:rPr>
          <w:rFonts w:ascii="Arial" w:hAnsi="Arial" w:cs="Arial"/>
          <w:b/>
          <w:sz w:val="24"/>
          <w:szCs w:val="24"/>
        </w:rPr>
      </w:pPr>
      <w:r w:rsidRPr="008C5A0F">
        <w:rPr>
          <w:rFonts w:ascii="Arial" w:hAnsi="Arial" w:cs="Arial"/>
          <w:b/>
          <w:sz w:val="24"/>
          <w:szCs w:val="24"/>
        </w:rPr>
        <w:t xml:space="preserve">prioritná os </w:t>
      </w:r>
      <w:r w:rsidR="002F32F7" w:rsidRPr="008C5A0F">
        <w:rPr>
          <w:rFonts w:ascii="Arial" w:hAnsi="Arial" w:cs="Arial"/>
          <w:b/>
          <w:sz w:val="24"/>
          <w:szCs w:val="24"/>
        </w:rPr>
        <w:t>6</w:t>
      </w:r>
    </w:p>
    <w:p w:rsidR="002D30EF" w:rsidRPr="008C5A0F" w:rsidRDefault="002F32F7" w:rsidP="002D30EF">
      <w:pPr>
        <w:pStyle w:val="Zkladntext"/>
        <w:spacing w:before="0"/>
        <w:ind w:left="1925" w:right="1640"/>
        <w:jc w:val="center"/>
        <w:rPr>
          <w:rFonts w:ascii="Arial" w:hAnsi="Arial" w:cs="Arial"/>
          <w:b/>
          <w:sz w:val="24"/>
          <w:szCs w:val="24"/>
        </w:rPr>
      </w:pPr>
      <w:r w:rsidRPr="008C5A0F">
        <w:rPr>
          <w:rFonts w:ascii="Arial" w:hAnsi="Arial" w:cs="Arial"/>
          <w:b/>
          <w:sz w:val="24"/>
          <w:szCs w:val="24"/>
        </w:rPr>
        <w:t>Technická pomoc IROP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5"/>
        <w:gridCol w:w="2154"/>
        <w:gridCol w:w="5295"/>
        <w:gridCol w:w="1544"/>
        <w:gridCol w:w="1157"/>
        <w:gridCol w:w="3341"/>
      </w:tblGrid>
      <w:tr w:rsidR="004B5B76" w:rsidRPr="008C5A0F" w:rsidTr="008C5A0F">
        <w:trPr>
          <w:tblHeader/>
        </w:trPr>
        <w:tc>
          <w:tcPr>
            <w:tcW w:w="645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proofErr w:type="spellStart"/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P.č</w:t>
            </w:r>
            <w:proofErr w:type="spellEnd"/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.</w:t>
            </w:r>
          </w:p>
        </w:tc>
        <w:tc>
          <w:tcPr>
            <w:tcW w:w="2154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Kritérium</w:t>
            </w:r>
          </w:p>
        </w:tc>
        <w:tc>
          <w:tcPr>
            <w:tcW w:w="5295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Predmet hodnotenia</w:t>
            </w:r>
          </w:p>
        </w:tc>
        <w:tc>
          <w:tcPr>
            <w:tcW w:w="1544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hanging="3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Typ kritéria</w:t>
            </w:r>
          </w:p>
        </w:tc>
        <w:tc>
          <w:tcPr>
            <w:tcW w:w="1149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Hodno-tenie</w:t>
            </w:r>
          </w:p>
        </w:tc>
        <w:tc>
          <w:tcPr>
            <w:tcW w:w="3341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Spôsob aplikácie hodnotiaceho kritéria</w:t>
            </w:r>
          </w:p>
        </w:tc>
      </w:tr>
      <w:tr w:rsidR="00297E2A" w:rsidRPr="008C5A0F" w:rsidTr="00133A41">
        <w:tc>
          <w:tcPr>
            <w:tcW w:w="645" w:type="dxa"/>
            <w:shd w:val="clear" w:color="auto" w:fill="DEEAF6" w:themeFill="accent1" w:themeFillTint="33"/>
          </w:tcPr>
          <w:p w:rsidR="001D1A22" w:rsidRPr="008C5A0F" w:rsidRDefault="001D1A22" w:rsidP="001D1A22">
            <w:pPr>
              <w:pStyle w:val="TableParagraph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1.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D1A22" w:rsidRPr="008C5A0F" w:rsidRDefault="00133A41" w:rsidP="001D1A22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projektu k cieľom a výsledkom OP a prioritnej osi 6</w:t>
            </w:r>
          </w:p>
        </w:tc>
      </w:tr>
      <w:tr w:rsidR="00133A41" w:rsidRPr="008C5A0F" w:rsidTr="00133A41">
        <w:trPr>
          <w:trHeight w:val="571"/>
        </w:trPr>
        <w:tc>
          <w:tcPr>
            <w:tcW w:w="645" w:type="dxa"/>
            <w:vMerge w:val="restart"/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1D1A2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intervenčnou stratégiou operačného programu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124BF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intervenčnou stratégiou pre oblasť technickej pomoci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IROP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, t.j. súlad s: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a) príslušnými špecifickými cieľmi,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b) očakávanými výsledkami,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c) definovanými oprávnenými aktivitami.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 xml:space="preserve">Na rozdiel od administratívneho overenia ide o hĺbkové posúdenie vecnej (obsahovej) stránky projektu z hľadiska jeho súladu so stratégiou </w:t>
            </w:r>
            <w:r w:rsidR="00124BF5"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 danej oblasti.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F30380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133A41" w:rsidRPr="008C5A0F" w:rsidRDefault="00F30380" w:rsidP="005A1F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Zameranie projektu je v súlade s intervenčnou stratégiou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danej oblasti.</w:t>
            </w:r>
          </w:p>
        </w:tc>
      </w:tr>
      <w:tr w:rsidR="00133A41" w:rsidRPr="008C5A0F" w:rsidTr="00133A41">
        <w:trPr>
          <w:trHeight w:val="733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33A41" w:rsidRPr="008C5A0F" w:rsidRDefault="00F30380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133A41" w:rsidRPr="008C5A0F" w:rsidRDefault="00F30380" w:rsidP="005A1F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Zameranie projektu nie je v súlade s intervenčnou stratégiou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danej oblasti, resp. jeho súlad je iba v deklaratívnej rovine</w:t>
            </w:r>
          </w:p>
        </w:tc>
      </w:tr>
      <w:tr w:rsidR="00133A41" w:rsidRPr="008C5A0F" w:rsidTr="00133A41">
        <w:trPr>
          <w:trHeight w:val="364"/>
        </w:trPr>
        <w:tc>
          <w:tcPr>
            <w:tcW w:w="645" w:type="dxa"/>
            <w:shd w:val="clear" w:color="auto" w:fill="DEEAF6" w:themeFill="accent1" w:themeFillTint="33"/>
          </w:tcPr>
          <w:p w:rsidR="00133A41" w:rsidRPr="008C5A0F" w:rsidRDefault="00133A41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2.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33A41" w:rsidRPr="008C5A0F" w:rsidRDefault="00133A41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Spôsob realizácie projektu</w:t>
            </w:r>
          </w:p>
        </w:tc>
      </w:tr>
      <w:tr w:rsidR="00133A41" w:rsidRPr="008C5A0F" w:rsidTr="00133A41">
        <w:trPr>
          <w:trHeight w:val="419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461A6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a výsledkom projektu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V rámci hodnotiaceho kritéria sa posudzujú nasledovné aspekty: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br/>
              <w:t>a) či realizácia navrhovaného projektu rieši identifikované potreby (problémy) cieľových skupín,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br/>
              <w:t>b) či je prostredníctvom realizácie navrhovaných hlavných aktivít projektu možné reálne predpokladať dosiahnutie deklarovaných cieľových hodnôt merateľných ukazovateľov projektu s prihliadnutím na previazanosť hlavných aktivít projektu na ciele a výsledky projektu (vnútorná logika projektu),</w:t>
            </w:r>
          </w:p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 xml:space="preserve">c) či zameranie projektu nepredstavuje duplicitu k už zrealizovaným aktivitám z prostriedkov technickej pomoci </w:t>
            </w:r>
            <w:r w:rsidR="004517AE"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IROP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.</w:t>
            </w:r>
          </w:p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</w:p>
          <w:p w:rsidR="00133A41" w:rsidRPr="008C5A0F" w:rsidRDefault="00133A41" w:rsidP="00461A6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Pozn.: v prípade, ak hodnotiteľ vyhodnotí niektorú z hlavných aktivít projektu ako nevhodnú, resp. neúčelnú (z titulu neexistencie logického prepojenia na východiskovú situáciu alebo ciele a výsledky projektu), určí výdavky na takúto aktivitu ako neoprávnené a zadefinuje potrebu príp. ďalších súvisiacich úprav projektu (napr. časový rámec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realizácie aktivít projektu).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</w:p>
        </w:tc>
        <w:tc>
          <w:tcPr>
            <w:tcW w:w="1149" w:type="dxa"/>
          </w:tcPr>
          <w:p w:rsidR="00133A41" w:rsidRPr="008C5A0F" w:rsidRDefault="00EB2C0D" w:rsidP="00676287">
            <w:pPr>
              <w:pStyle w:val="TableParagraph"/>
              <w:spacing w:before="125"/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  <w:t>áno</w:t>
            </w:r>
          </w:p>
        </w:tc>
        <w:tc>
          <w:tcPr>
            <w:tcW w:w="3341" w:type="dxa"/>
          </w:tcPr>
          <w:p w:rsidR="00133A41" w:rsidRPr="008C5A0F" w:rsidRDefault="00EB2C0D" w:rsidP="00461A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riešeniu identifikovaných potrieb (problémov) cieľových skupín.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Deklarované cieľové hodnoty všetkých merateľných ukazovateľov projektu sú stanovené realisticky s ohľadom na hlavné aktivity projektu a navrhovaný spôsob realizácie projektu.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Projekt zohľadňuje a logicky nadväzuje na už realizované aktivity z prostriedkov technickej pomoci IROP (ak relevantné).</w:t>
            </w:r>
          </w:p>
        </w:tc>
      </w:tr>
      <w:tr w:rsidR="00133A41" w:rsidRPr="008C5A0F" w:rsidTr="006652C1">
        <w:trPr>
          <w:trHeight w:val="249"/>
        </w:trPr>
        <w:tc>
          <w:tcPr>
            <w:tcW w:w="64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133A41" w:rsidRPr="008C5A0F" w:rsidRDefault="00133A41" w:rsidP="000029A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133A41" w:rsidRPr="008C5A0F" w:rsidRDefault="00EB2C0D" w:rsidP="00676287">
            <w:pPr>
              <w:pStyle w:val="TableParagraph"/>
              <w:spacing w:before="125"/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  <w:t>nie</w:t>
            </w:r>
          </w:p>
        </w:tc>
        <w:tc>
          <w:tcPr>
            <w:tcW w:w="3341" w:type="dxa"/>
          </w:tcPr>
          <w:p w:rsidR="00EB2C0D" w:rsidRPr="008C5A0F" w:rsidRDefault="00EB2C0D" w:rsidP="00EB2C0D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 xml:space="preserve">Aktivity projektu vykazujú aspoň jeden z nasledovných závažných nedostatkov: </w:t>
            </w:r>
          </w:p>
          <w:p w:rsidR="00EB2C0D" w:rsidRPr="008C5A0F" w:rsidRDefault="00EB2C0D" w:rsidP="00EB2C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a) projekt neprispieva k riešeniu identifikovaných potrieb (problémov) cieľových skupín,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b) deklarované cieľové hodnoty merateľných ukazovateľov projektu nie sú stanovené realisticky, resp. nie sú dosiahnuteľné prostredníctvom realizácie navrhovaných aktivít projektu,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c) realizácia projektu je nevhodná, resp. neúčelná vo vzťahu k už realizovaným aktivitám z prostriedkov technickej pomoci IROP (ak relevantné).</w:t>
            </w:r>
          </w:p>
          <w:p w:rsidR="00133A41" w:rsidRPr="008C5A0F" w:rsidRDefault="00133A41" w:rsidP="00EB2C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33A41" w:rsidRPr="008C5A0F" w:rsidTr="00DF024A">
        <w:trPr>
          <w:trHeight w:val="385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2.2.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Reálnosť aktivít projektu vo vzťahu k navrhovanému časovému harmonogramu projektu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Posudzuje sa reálnosť časového harmonogramu realizácie všetkých aktivít projektu (hlavných aj podporných). Predmetom hodnotenia je posúdenie, či </w:t>
            </w:r>
            <w:proofErr w:type="spellStart"/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etapizácia</w:t>
            </w:r>
            <w:proofErr w:type="spellEnd"/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 aktivít je: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a)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logická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 z hľadiska časovej následnosti realizácie aktivít projektu;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b)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realistická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 vo vzťahu k trvaniu jednotlivých aktivít a k ich výstupom (dodržanie lehôt schvaľovacích konaní, postupov, verejného obstarávania a pod).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 xml:space="preserve">áno </w:t>
            </w:r>
          </w:p>
        </w:tc>
        <w:tc>
          <w:tcPr>
            <w:tcW w:w="3341" w:type="dxa"/>
          </w:tcPr>
          <w:p w:rsidR="00133A41" w:rsidRPr="008C5A0F" w:rsidRDefault="004517AE" w:rsidP="004517AE">
            <w:pPr>
              <w:pStyle w:val="Zkladntext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Aktivity projektu sú logicky nadväzujúce a nastavené realisticky z hľadiska ich trvania. Časový harmonogram projektu je realistický z hľadiska dosiahnutia výstupov projektu.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Časový harmonogram môže obsahovať formálne nedostatky, ktoré nemajú vplyv na dodržanie celkovej žiadateľom stanovenej dĺžky realizácie projektu a dosiahnutie výstupov projektu.</w:t>
            </w:r>
          </w:p>
        </w:tc>
      </w:tr>
      <w:tr w:rsidR="00133A41" w:rsidRPr="008C5A0F" w:rsidTr="00DF024A">
        <w:trPr>
          <w:trHeight w:val="447"/>
        </w:trPr>
        <w:tc>
          <w:tcPr>
            <w:tcW w:w="64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proofErr w:type="spellStart"/>
            <w:r w:rsidRPr="008C5A0F">
              <w:rPr>
                <w:rFonts w:ascii="Arial" w:hAnsi="Arial" w:cs="Arial"/>
                <w:sz w:val="19"/>
                <w:szCs w:val="19"/>
              </w:rPr>
              <w:t>Etapizácia</w:t>
            </w:r>
            <w:proofErr w:type="spellEnd"/>
            <w:r w:rsidRPr="008C5A0F">
              <w:rPr>
                <w:rFonts w:ascii="Arial" w:hAnsi="Arial" w:cs="Arial"/>
                <w:sz w:val="19"/>
                <w:szCs w:val="19"/>
              </w:rPr>
              <w:t xml:space="preserve"> projektu obsa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huje aspoň jeden z nasledovných nedostatkov, ktorý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môže mať vplyv na dodržanie celkovej žiadateľom stanovenej dĺžky realizácie projektu a/alebo ohrozenie dosiahnutia cieľa a výsledkov projektu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133A41" w:rsidRPr="008C5A0F" w:rsidRDefault="004517AE" w:rsidP="004517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a) obsahuje časovo nevhodne (nelogicky) nadväzujúce aktivity projektu,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b) dĺžka realizácie aspoň jednej z aktivít projektu nerešpektuje predpismi stanovené lehoty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realizácie (ak relevantné).</w:t>
            </w:r>
          </w:p>
        </w:tc>
      </w:tr>
      <w:tr w:rsidR="00133A41" w:rsidRPr="008C5A0F" w:rsidTr="00C21A23">
        <w:trPr>
          <w:trHeight w:val="843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2.3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Vhodnosť a uskutočniteľnosť aktivít projektu z hľadiska navrhovaných postupov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Posudzuje sa vhodnosť a 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uskutočniteľnosť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hlavných aktivít projektu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z hľadiska navrhovaných postupov a riešení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 z toho vyplývajúca: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a) kvalitatívna úroveň výstupov projektu,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b) využiteľnosť výsledkov projektu po ukončení realizácie projektu(ak relevantné),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c) účinnosť a efektívnosť riešenia vo vzťahu k stanoveným cieľom a výsledkom projektu.</w:t>
            </w:r>
          </w:p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V rámci toho sa v závislosti od oblasti podpory v rámci technickej pomoci </w:t>
            </w:r>
            <w:r w:rsidR="00124BF5"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IROP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posudzuje aj súlad navrhovaných aktivít z hľadiska organizačných postupov RO/SO (napr. vo vzťahu k obstarávaniu tovarov, prác a služieb, systému vzdelávania, pravidlám odmeňovania zamestnancov, realizácii informačných a komunikačných aktivít).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 xml:space="preserve">Spôsob realizácie hlavných aktivít projektu umožní pri navrhovaných postupoch/riešeniach dosiahnutie zodpovedajúcej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(štandardnej) </w:t>
            </w:r>
            <w:r w:rsidRPr="008C5A0F">
              <w:rPr>
                <w:rFonts w:ascii="Arial" w:hAnsi="Arial" w:cs="Arial"/>
                <w:sz w:val="19"/>
                <w:szCs w:val="19"/>
              </w:rPr>
              <w:t>kvalitatívnej úrovne výstupov projektu,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minimálne na úrovni kvalitatívnych štandardov vyplývajúcich z platných postupov, noriem, alebo metodík (ak relevantné)</w:t>
            </w:r>
            <w:r w:rsidRPr="008C5A0F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 xml:space="preserve">Navrhované riešenie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je zároveň účinné a efektívne vo vzťahu k stanoveným cieľom a výsledkom projektu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a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 dáva predpoklad pre využiteľnosť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výsledkov projektu po ukončení realizácie projektu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 (ak relevantné).</w:t>
            </w:r>
          </w:p>
          <w:p w:rsidR="00133A41" w:rsidRPr="008C5A0F" w:rsidRDefault="00133A41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33A41" w:rsidRPr="008C5A0F" w:rsidTr="00706EF2">
        <w:trPr>
          <w:trHeight w:val="841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Spôsob realizácie hlavných aktivít projektu pri navrhovaných postupoch/riešeniach: 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  <w:t xml:space="preserve">a) neumožní dosiahnuť stanovené výstupy projektu, resp. neumožní ich dosiahnutie na zodpovedajúcej kvalitatívnej úrovni, minimálne na úrovni kvalitatívnych štandardov vyplývajúcich z platných postupov, noriem, alebo metodík (ak relevantné), a/alebo 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b) navrhované riešenie nie je vhodné z hľadiska využiteľnosti výsledkov projektu po ukončení realizácie projektu (ak relevantné),</w:t>
            </w:r>
          </w:p>
          <w:p w:rsidR="00133A41" w:rsidRPr="008C5A0F" w:rsidRDefault="004517AE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c)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navrhované riešenie nie je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účinné a efektívne vo vzťahu k stanoveným cieľom a výsledkom projektu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133A41" w:rsidRPr="008C5A0F" w:rsidTr="00706EF2">
        <w:trPr>
          <w:trHeight w:val="370"/>
        </w:trPr>
        <w:tc>
          <w:tcPr>
            <w:tcW w:w="645" w:type="dxa"/>
            <w:shd w:val="clear" w:color="auto" w:fill="DEEAF6" w:themeFill="accent1" w:themeFillTint="33"/>
          </w:tcPr>
          <w:p w:rsidR="00133A41" w:rsidRPr="008C5A0F" w:rsidRDefault="00706EF2" w:rsidP="000029A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lastRenderedPageBreak/>
              <w:t xml:space="preserve">3.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33A41" w:rsidRPr="008C5A0F" w:rsidRDefault="00706EF2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</w:tr>
      <w:tr w:rsidR="00706EF2" w:rsidRPr="008C5A0F" w:rsidTr="009F788A">
        <w:trPr>
          <w:trHeight w:val="416"/>
        </w:trPr>
        <w:tc>
          <w:tcPr>
            <w:tcW w:w="645" w:type="dxa"/>
            <w:vMerge w:val="restart"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2154" w:type="dxa"/>
            <w:vMerge w:val="restart"/>
          </w:tcPr>
          <w:p w:rsidR="00706EF2" w:rsidRPr="008C5A0F" w:rsidRDefault="00706EF2" w:rsidP="00F573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Kapacita žiadateľa na riadenie projektu</w:t>
            </w:r>
          </w:p>
        </w:tc>
        <w:tc>
          <w:tcPr>
            <w:tcW w:w="5295" w:type="dxa"/>
            <w:vMerge w:val="restart"/>
          </w:tcPr>
          <w:p w:rsidR="00706EF2" w:rsidRPr="008C5A0F" w:rsidRDefault="00706EF2" w:rsidP="00706EF2">
            <w:pPr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Posudzuje sa administratívna kapacita žiadateľa na riadenie projektu v súlade s podmienkami definovanými v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príslušnej riadiacej dokumentácii pre implementáciu projektov technickej pomoci v rámci </w:t>
            </w:r>
            <w:r w:rsidR="00124BF5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IROP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(administrácia projektu spolufinancovaného z EŠIF). V rámci toho sa posudzujú aj skúsenosti žiadateľa s riadením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obdobných/porovnateľných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projektov. Riadenie projektu môže byť zabezpečené internými kapacitami žiadateľa.</w:t>
            </w:r>
          </w:p>
          <w:p w:rsidR="00706EF2" w:rsidRPr="008C5A0F" w:rsidRDefault="00706EF2" w:rsidP="00F573D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6B78F9" w:rsidRPr="008C5A0F" w:rsidRDefault="004517AE" w:rsidP="006B78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Administratívne kapacity žiadateľa na riadenie projektu podľa podmienok definovaných v príslušnej riadiacej dokumentácii pre implementáciu projektov v rámci IROP </w:t>
            </w:r>
            <w:r w:rsidRPr="008C5A0F">
              <w:rPr>
                <w:rFonts w:ascii="Arial" w:hAnsi="Arial" w:cs="Arial"/>
                <w:b/>
                <w:bCs/>
                <w:sz w:val="19"/>
                <w:szCs w:val="19"/>
                <w:lang w:eastAsia="sk-SK"/>
              </w:rPr>
              <w:t>sú dostatočné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. Žiadateľ má zabezpečené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, resp. deklaruje zabezpečenie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riadenia projektu: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  <w:r w:rsidR="006B78F9" w:rsidRPr="008C5A0F">
              <w:rPr>
                <w:rFonts w:ascii="Arial" w:hAnsi="Arial" w:cs="Arial"/>
                <w:sz w:val="19"/>
                <w:szCs w:val="19"/>
                <w:lang w:eastAsia="sk-SK"/>
              </w:rPr>
              <w:t>a) internými kapacitami primeranými rozsahu projektu, ktoré majú skúsenosti s riadením aspoň jedného obdobného/porovnateľného projektu.</w:t>
            </w:r>
          </w:p>
          <w:p w:rsidR="00706EF2" w:rsidRPr="008C5A0F" w:rsidRDefault="006B78F9" w:rsidP="006431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b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t>) externými kapacitami so skúsenosťami v oblasti riadenia obdobných/porovnateľných projektov</w:t>
            </w:r>
            <w:r w:rsidR="0064312B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ak relevantné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, alebo 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</w:p>
        </w:tc>
      </w:tr>
      <w:tr w:rsidR="00706EF2" w:rsidRPr="008C5A0F" w:rsidTr="009F788A">
        <w:trPr>
          <w:trHeight w:val="458"/>
        </w:trPr>
        <w:tc>
          <w:tcPr>
            <w:tcW w:w="645" w:type="dxa"/>
            <w:vMerge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C318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706EF2" w:rsidRPr="008C5A0F" w:rsidRDefault="00706EF2" w:rsidP="00C318FB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vAlign w:val="center"/>
          </w:tcPr>
          <w:p w:rsidR="004517AE" w:rsidRPr="008C5A0F" w:rsidRDefault="004517AE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Administratívne kapacity žiadateľa na riadenie projektu podľa podmienok definovaných v príslušnej riadiacej dokumentácii pre implementáciu projektov technickej pomoci v rámci IROP </w:t>
            </w:r>
            <w:r w:rsidRPr="008C5A0F">
              <w:rPr>
                <w:rFonts w:ascii="Arial" w:hAnsi="Arial" w:cs="Arial"/>
                <w:b/>
                <w:bCs/>
                <w:sz w:val="19"/>
                <w:szCs w:val="19"/>
                <w:lang w:eastAsia="sk-SK"/>
              </w:rPr>
              <w:t xml:space="preserve">sú nedostatočné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z hľadiska ich počtu a/alebo skúseností s riadením obdobných/porovnateľných projektov.</w:t>
            </w:r>
          </w:p>
          <w:p w:rsidR="00706EF2" w:rsidRPr="008C5A0F" w:rsidRDefault="00706EF2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06EF2" w:rsidRPr="008C5A0F" w:rsidTr="00161AF0">
        <w:trPr>
          <w:trHeight w:val="655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2154" w:type="dxa"/>
            <w:vMerge w:val="restart"/>
          </w:tcPr>
          <w:p w:rsidR="00706EF2" w:rsidRPr="008C5A0F" w:rsidRDefault="00706EF2" w:rsidP="00525CA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Kapacita žiadateľa na realizáciu projektu</w:t>
            </w:r>
          </w:p>
        </w:tc>
        <w:tc>
          <w:tcPr>
            <w:tcW w:w="5295" w:type="dxa"/>
            <w:vMerge w:val="restart"/>
          </w:tcPr>
          <w:p w:rsidR="003C011E" w:rsidRPr="008C5A0F" w:rsidRDefault="003C011E" w:rsidP="003C011E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Posudzuje sa kapacita žiadateľa na realizáciu projektu z hľadiska vecného zamerania projektu. </w:t>
            </w:r>
          </w:p>
          <w:p w:rsidR="003C011E" w:rsidRPr="008C5A0F" w:rsidRDefault="003C011E" w:rsidP="003C011E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V rámci toho sa posudzuje, či žiadateľ disponuje dostatočnými administratívnymi kapacitami s potrebnou odbornou spôsobilosťou a know-how a potrebným materiálno-technickým zázemím pre realizáciu projektu v danej oblasti (ak relevantné). Realizácia projektu môže byť zabezpečená internými kapacitami žiadateľa alebo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lastRenderedPageBreak/>
              <w:t>externými kapacitami, ktoré si žiadateľ na tento účel obstará.</w:t>
            </w:r>
          </w:p>
          <w:p w:rsidR="00706EF2" w:rsidRPr="008C5A0F" w:rsidRDefault="00706EF2" w:rsidP="00525CA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F21090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lastRenderedPageBreak/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706EF2" w:rsidRPr="008C5A0F" w:rsidRDefault="004517AE" w:rsidP="004517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Žiadateľ </w:t>
            </w: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 xml:space="preserve">disponuje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adekvátnym  materiálno-technickým zázemím a dostatočnými internými administratívnymi kapacitami s náležitou odbornou spôsobilosťou a know-how pre realizáciu projektu v danej oblasti, alebo má uvedené zázemie a kapacity zabezpečené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lastRenderedPageBreak/>
              <w:t>prostredníctvom externého dodávateľa.</w:t>
            </w:r>
          </w:p>
        </w:tc>
      </w:tr>
      <w:tr w:rsidR="00706EF2" w:rsidRPr="008C5A0F" w:rsidTr="00706EF2">
        <w:trPr>
          <w:trHeight w:val="697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706EF2" w:rsidRPr="008C5A0F" w:rsidRDefault="004517AE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Žiadateľ </w:t>
            </w: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nedisponuje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 adekvátnym  materiálno-technickým zázemím a/alebo dostatočnými administratívnymi kapacitami s náležitou odbornou spôsobilosťou a know-how pre realizáciu projektu v danej oblasti a uvedené zázemie a kapacity nemá zabezpečené ani prostredníctvom externého dodávateľa.</w:t>
            </w:r>
          </w:p>
        </w:tc>
      </w:tr>
      <w:tr w:rsidR="00706EF2" w:rsidRPr="008C5A0F" w:rsidTr="00706EF2">
        <w:trPr>
          <w:trHeight w:val="440"/>
        </w:trPr>
        <w:tc>
          <w:tcPr>
            <w:tcW w:w="645" w:type="dxa"/>
            <w:shd w:val="clear" w:color="auto" w:fill="DEEAF6" w:themeFill="accent1" w:themeFillTint="33"/>
          </w:tcPr>
          <w:p w:rsidR="00706EF2" w:rsidRPr="008C5A0F" w:rsidRDefault="00706EF2" w:rsidP="00F21090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4.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706EF2" w:rsidRPr="008C5A0F" w:rsidRDefault="00706EF2" w:rsidP="00F21090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</w:tr>
      <w:tr w:rsidR="00706EF2" w:rsidRPr="008C5A0F" w:rsidTr="005C756A">
        <w:trPr>
          <w:trHeight w:val="1463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215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Vecná oprávnenosť výdavkov projektu - obsahová oprávnenosť, účelnosť a účinnosť </w:t>
            </w:r>
          </w:p>
        </w:tc>
        <w:tc>
          <w:tcPr>
            <w:tcW w:w="5295" w:type="dxa"/>
            <w:vMerge w:val="restart"/>
          </w:tcPr>
          <w:p w:rsidR="00A83242" w:rsidRPr="008C5A0F" w:rsidRDefault="00A83242" w:rsidP="00A83242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154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Vylučujúce kritérium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706EF2" w:rsidRPr="008C5A0F" w:rsidRDefault="00A83242" w:rsidP="004517A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 viac finančnej hodnoty žiadateľom definovaných celkových oprávnených výdavkov projektu je vecne oprávnených (obsahová oprávnenosť, účelnosť a účinnosť).</w:t>
            </w:r>
          </w:p>
        </w:tc>
      </w:tr>
      <w:tr w:rsidR="00706EF2" w:rsidRPr="008C5A0F" w:rsidTr="00886425">
        <w:trPr>
          <w:trHeight w:val="697"/>
        </w:trPr>
        <w:tc>
          <w:tcPr>
            <w:tcW w:w="64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vAlign w:val="center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vAlign w:val="center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</w:tcPr>
          <w:p w:rsidR="00706EF2" w:rsidRPr="008C5A0F" w:rsidRDefault="00A83242" w:rsidP="005C756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Menej ako 70% finančnej hodnoty žiadateľom definovaných celkových oprávnených výdavkov projektu je vecne oprávnených (obsahová oprávnenosť, účelnosť a účinnosť).</w:t>
            </w:r>
          </w:p>
        </w:tc>
      </w:tr>
      <w:tr w:rsidR="00706EF2" w:rsidRPr="008C5A0F" w:rsidTr="008275D3">
        <w:trPr>
          <w:trHeight w:val="697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215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Efektívnosť a hospodárnosť výdavkov projektu </w:t>
            </w:r>
          </w:p>
        </w:tc>
        <w:tc>
          <w:tcPr>
            <w:tcW w:w="5295" w:type="dxa"/>
            <w:vMerge w:val="restart"/>
          </w:tcPr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lastRenderedPageBreak/>
              <w:t>Pozn.:</w:t>
            </w: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>V prípade benchmarkov (</w:t>
            </w:r>
            <w:proofErr w:type="spellStart"/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. smerných ukazovateľov, ktoré sa vzťahujú na výstupy 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  <w:p w:rsidR="00A83242" w:rsidRPr="008C5A0F" w:rsidRDefault="00A83242" w:rsidP="00A83242">
            <w:pPr>
              <w:pStyle w:val="Zkladntext"/>
              <w:spacing w:before="0" w:after="0"/>
              <w:jc w:val="lef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Pozn.: pre objektívne posúdenie tohto kritéria bude v písomnom vyzvaní na predloženie žiadosti o NFP a v Príručke pre hodnotiteľa uvedený spôsob preukazovania a postup overovania hospodárnosti a efektívnosti výdavkov. </w:t>
            </w: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:rsidR="00706EF2" w:rsidRPr="008C5A0F" w:rsidRDefault="00706EF2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06EF2" w:rsidRPr="008C5A0F" w:rsidTr="00706EF2">
        <w:trPr>
          <w:trHeight w:val="697"/>
        </w:trPr>
        <w:tc>
          <w:tcPr>
            <w:tcW w:w="64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</w:tcPr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Žiadané výdavky projektu nie sú hospodárne a efektívne, nezodpovedajú obvyklým cenám v danom čase a mieste, nespĺňajú cieľ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minimalizácie nákladov pri dodržaní požadovanej kvality výstupov.</w:t>
            </w:r>
          </w:p>
          <w:p w:rsidR="00706EF2" w:rsidRPr="008C5A0F" w:rsidRDefault="00706EF2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B97FA2" w:rsidRDefault="00B97FA2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P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66125B" w:rsidRPr="008C5A0F" w:rsidRDefault="0066125B" w:rsidP="008C5A0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5A0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Sumarizačný prehľad hodnotiacich kritérií </w:t>
      </w:r>
    </w:p>
    <w:tbl>
      <w:tblPr>
        <w:tblStyle w:val="Mriekatabuky"/>
        <w:tblW w:w="12839" w:type="dxa"/>
        <w:tblLayout w:type="fixed"/>
        <w:tblLook w:val="04A0" w:firstRow="1" w:lastRow="0" w:firstColumn="1" w:lastColumn="0" w:noHBand="0" w:noVBand="1"/>
      </w:tblPr>
      <w:tblGrid>
        <w:gridCol w:w="2802"/>
        <w:gridCol w:w="7512"/>
        <w:gridCol w:w="1276"/>
        <w:gridCol w:w="1249"/>
      </w:tblGrid>
      <w:tr w:rsidR="00706EF2" w:rsidRPr="008C5A0F" w:rsidTr="00706EF2">
        <w:tc>
          <w:tcPr>
            <w:tcW w:w="2802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7512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1249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</w:tr>
      <w:tr w:rsidR="00706EF2" w:rsidRPr="008C5A0F" w:rsidTr="00706EF2">
        <w:trPr>
          <w:trHeight w:val="180"/>
        </w:trPr>
        <w:tc>
          <w:tcPr>
            <w:tcW w:w="2802" w:type="dxa"/>
            <w:shd w:val="clear" w:color="auto" w:fill="DEEAF6" w:themeFill="accent1" w:themeFillTint="33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1. Príspevok projektu k cieľom a výsledkom operačného programu a prioritnej osi</w:t>
            </w:r>
          </w:p>
        </w:tc>
        <w:tc>
          <w:tcPr>
            <w:tcW w:w="7512" w:type="dxa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1.1 Súlad projektu s intervenčnou stratégiou operačného programu</w:t>
            </w:r>
          </w:p>
        </w:tc>
        <w:tc>
          <w:tcPr>
            <w:tcW w:w="1276" w:type="dxa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706EF2" w:rsidRPr="008C5A0F" w:rsidRDefault="004517AE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135"/>
        </w:trPr>
        <w:tc>
          <w:tcPr>
            <w:tcW w:w="2802" w:type="dxa"/>
            <w:vMerge w:val="restart"/>
            <w:shd w:val="clear" w:color="auto" w:fill="DEEAF6" w:themeFill="accent1" w:themeFillTint="33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2. Spôsob realizácie projektu</w:t>
            </w:r>
          </w:p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2.1 Vhodnosť a prepojenosť navrhovaných aktivít projektu vo vzťahu k východiskovej situácii a k stanoveným cieľom a výsledkom projektu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433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2.2 Reálnosť aktivít projektu vo vzťahu k navrhovanému časovému harmonogramu projektu</w:t>
            </w:r>
          </w:p>
        </w:tc>
        <w:tc>
          <w:tcPr>
            <w:tcW w:w="1276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176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2.3 Vhodnosť a uskutočniteľnosť aktivít projektu z hľadiska navrhovaných postupov</w:t>
            </w:r>
          </w:p>
        </w:tc>
        <w:tc>
          <w:tcPr>
            <w:tcW w:w="1276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180"/>
        </w:trPr>
        <w:tc>
          <w:tcPr>
            <w:tcW w:w="2802" w:type="dxa"/>
            <w:vMerge w:val="restart"/>
            <w:shd w:val="clear" w:color="auto" w:fill="DEEAF6" w:themeFill="accent1" w:themeFillTint="33"/>
            <w:vAlign w:val="center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3. Administratívna a prevádzková kapacita žiadateľa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3.1 Kapacita žiadateľa na riadenie projektu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225"/>
        </w:trPr>
        <w:tc>
          <w:tcPr>
            <w:tcW w:w="2802" w:type="dxa"/>
            <w:vMerge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3.2 Kapacita žiadateľa na realizáciu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315"/>
        </w:trPr>
        <w:tc>
          <w:tcPr>
            <w:tcW w:w="2802" w:type="dxa"/>
            <w:vMerge w:val="restart"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4. Finančná a ekonomická stránka projektu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4.1 </w:t>
            </w:r>
            <w:r w:rsidR="00A83242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 účinnosť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270"/>
        </w:trPr>
        <w:tc>
          <w:tcPr>
            <w:tcW w:w="2802" w:type="dxa"/>
            <w:vMerge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4.2 </w:t>
            </w:r>
            <w:r w:rsidR="00A83242"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Efektívnosť a hospodárnosť výdavkov projektu</w:t>
            </w:r>
          </w:p>
        </w:tc>
        <w:tc>
          <w:tcPr>
            <w:tcW w:w="1276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</w:tbl>
    <w:p w:rsidR="007730D9" w:rsidRPr="008C5A0F" w:rsidRDefault="003C011E" w:rsidP="003C011E">
      <w:pPr>
        <w:pStyle w:val="Zkladntext"/>
        <w:spacing w:before="120" w:after="0"/>
        <w:rPr>
          <w:rFonts w:ascii="Arial" w:hAnsi="Arial" w:cs="Arial"/>
          <w:b/>
          <w:color w:val="000000"/>
          <w:sz w:val="19"/>
          <w:szCs w:val="19"/>
          <w:lang w:eastAsia="sk-SK"/>
        </w:rPr>
      </w:pPr>
      <w:r w:rsidRPr="008C5A0F">
        <w:rPr>
          <w:rFonts w:ascii="Arial" w:hAnsi="Arial" w:cs="Arial"/>
          <w:b/>
          <w:color w:val="000000"/>
          <w:sz w:val="19"/>
          <w:szCs w:val="19"/>
          <w:lang w:eastAsia="sk-SK"/>
        </w:rPr>
        <w:t>Na splnenie kritérií odborného hodnotenia je potrebné splniť (hodnotenie „áno“) všetky hodnotiace kritériá.</w:t>
      </w:r>
    </w:p>
    <w:p w:rsidR="006B78F9" w:rsidRPr="008C5A0F" w:rsidRDefault="006B78F9" w:rsidP="00E95C27">
      <w:pPr>
        <w:pStyle w:val="Zkladntext"/>
        <w:spacing w:before="120" w:after="0"/>
        <w:rPr>
          <w:rFonts w:ascii="Arial" w:hAnsi="Arial" w:cs="Arial"/>
          <w:b/>
          <w:color w:val="000000"/>
          <w:sz w:val="19"/>
          <w:szCs w:val="19"/>
          <w:lang w:eastAsia="sk-SK"/>
        </w:rPr>
      </w:pPr>
      <w:bookmarkStart w:id="0" w:name="_GoBack"/>
      <w:bookmarkEnd w:id="0"/>
    </w:p>
    <w:sectPr w:rsidR="006B78F9" w:rsidRPr="008C5A0F" w:rsidSect="00133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5DE"/>
    <w:multiLevelType w:val="hybridMultilevel"/>
    <w:tmpl w:val="83A60BD0"/>
    <w:lvl w:ilvl="0" w:tplc="4CDC17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533B"/>
    <w:multiLevelType w:val="hybridMultilevel"/>
    <w:tmpl w:val="BDC275E0"/>
    <w:lvl w:ilvl="0" w:tplc="078E40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0CF7"/>
    <w:multiLevelType w:val="hybridMultilevel"/>
    <w:tmpl w:val="A34416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A5AD3"/>
    <w:multiLevelType w:val="hybridMultilevel"/>
    <w:tmpl w:val="31562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41F3"/>
    <w:multiLevelType w:val="hybridMultilevel"/>
    <w:tmpl w:val="B6B4C414"/>
    <w:lvl w:ilvl="0" w:tplc="B4246096">
      <w:numFmt w:val="bullet"/>
      <w:lvlText w:val="-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12A9C"/>
    <w:multiLevelType w:val="hybridMultilevel"/>
    <w:tmpl w:val="B2AAC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68DD"/>
    <w:multiLevelType w:val="hybridMultilevel"/>
    <w:tmpl w:val="7480B2B0"/>
    <w:lvl w:ilvl="0" w:tplc="4CDC17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C6C6F"/>
    <w:multiLevelType w:val="hybridMultilevel"/>
    <w:tmpl w:val="412A5B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5E3850"/>
    <w:multiLevelType w:val="hybridMultilevel"/>
    <w:tmpl w:val="6D3E727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oNotTrackFormatting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A22"/>
    <w:rsid w:val="00001DA4"/>
    <w:rsid w:val="000029A1"/>
    <w:rsid w:val="00006BDC"/>
    <w:rsid w:val="00011A8B"/>
    <w:rsid w:val="00012037"/>
    <w:rsid w:val="0001588A"/>
    <w:rsid w:val="00050427"/>
    <w:rsid w:val="00052711"/>
    <w:rsid w:val="00052CA7"/>
    <w:rsid w:val="00053DF4"/>
    <w:rsid w:val="000632F6"/>
    <w:rsid w:val="00063C1E"/>
    <w:rsid w:val="0006402A"/>
    <w:rsid w:val="000671D7"/>
    <w:rsid w:val="00067C9F"/>
    <w:rsid w:val="00073386"/>
    <w:rsid w:val="000944CC"/>
    <w:rsid w:val="000972A2"/>
    <w:rsid w:val="00097AE6"/>
    <w:rsid w:val="000A00C2"/>
    <w:rsid w:val="000B38D3"/>
    <w:rsid w:val="000C34FD"/>
    <w:rsid w:val="000D5B35"/>
    <w:rsid w:val="000D7FBA"/>
    <w:rsid w:val="000E080D"/>
    <w:rsid w:val="000E10C6"/>
    <w:rsid w:val="000E46FD"/>
    <w:rsid w:val="000E6636"/>
    <w:rsid w:val="000F5E7A"/>
    <w:rsid w:val="00100061"/>
    <w:rsid w:val="00100191"/>
    <w:rsid w:val="0010352D"/>
    <w:rsid w:val="001075E6"/>
    <w:rsid w:val="001159D0"/>
    <w:rsid w:val="001221B5"/>
    <w:rsid w:val="00123D25"/>
    <w:rsid w:val="00124BF5"/>
    <w:rsid w:val="00133A41"/>
    <w:rsid w:val="0013600D"/>
    <w:rsid w:val="00142FD9"/>
    <w:rsid w:val="00144A79"/>
    <w:rsid w:val="001521EF"/>
    <w:rsid w:val="00163EB8"/>
    <w:rsid w:val="001665EA"/>
    <w:rsid w:val="00167757"/>
    <w:rsid w:val="001809F1"/>
    <w:rsid w:val="0018641E"/>
    <w:rsid w:val="001A205E"/>
    <w:rsid w:val="001B3D2A"/>
    <w:rsid w:val="001C01BC"/>
    <w:rsid w:val="001C7020"/>
    <w:rsid w:val="001D1A22"/>
    <w:rsid w:val="001E1C77"/>
    <w:rsid w:val="001E4EE8"/>
    <w:rsid w:val="001E6757"/>
    <w:rsid w:val="001F6175"/>
    <w:rsid w:val="001F6D5B"/>
    <w:rsid w:val="00234CAD"/>
    <w:rsid w:val="0023557B"/>
    <w:rsid w:val="0024030A"/>
    <w:rsid w:val="00242E02"/>
    <w:rsid w:val="00265A60"/>
    <w:rsid w:val="00266DA6"/>
    <w:rsid w:val="002954DF"/>
    <w:rsid w:val="00297E2A"/>
    <w:rsid w:val="002A0F60"/>
    <w:rsid w:val="002A6965"/>
    <w:rsid w:val="002C6D76"/>
    <w:rsid w:val="002D30EF"/>
    <w:rsid w:val="002D48DE"/>
    <w:rsid w:val="002E1DF1"/>
    <w:rsid w:val="002E52F1"/>
    <w:rsid w:val="002F2752"/>
    <w:rsid w:val="002F32F7"/>
    <w:rsid w:val="002F39E7"/>
    <w:rsid w:val="00300097"/>
    <w:rsid w:val="00306D13"/>
    <w:rsid w:val="00321211"/>
    <w:rsid w:val="00332DAE"/>
    <w:rsid w:val="00332E9E"/>
    <w:rsid w:val="00335907"/>
    <w:rsid w:val="003508DA"/>
    <w:rsid w:val="0035144C"/>
    <w:rsid w:val="003734EE"/>
    <w:rsid w:val="00377EC6"/>
    <w:rsid w:val="0038512E"/>
    <w:rsid w:val="003940A4"/>
    <w:rsid w:val="003A7A62"/>
    <w:rsid w:val="003C011E"/>
    <w:rsid w:val="003C5193"/>
    <w:rsid w:val="003D68F6"/>
    <w:rsid w:val="003E52E1"/>
    <w:rsid w:val="00400E3E"/>
    <w:rsid w:val="00402ABD"/>
    <w:rsid w:val="00404055"/>
    <w:rsid w:val="0041027B"/>
    <w:rsid w:val="00413F22"/>
    <w:rsid w:val="004343C4"/>
    <w:rsid w:val="00450852"/>
    <w:rsid w:val="004517AE"/>
    <w:rsid w:val="0045441A"/>
    <w:rsid w:val="00456DFE"/>
    <w:rsid w:val="00461A6D"/>
    <w:rsid w:val="00463585"/>
    <w:rsid w:val="00474D5E"/>
    <w:rsid w:val="00474FA9"/>
    <w:rsid w:val="00480D9F"/>
    <w:rsid w:val="00492C48"/>
    <w:rsid w:val="004936CC"/>
    <w:rsid w:val="00494091"/>
    <w:rsid w:val="004A6A8D"/>
    <w:rsid w:val="004B0FC1"/>
    <w:rsid w:val="004B4B65"/>
    <w:rsid w:val="004B5B76"/>
    <w:rsid w:val="004C5BDB"/>
    <w:rsid w:val="004D123C"/>
    <w:rsid w:val="004D3EF2"/>
    <w:rsid w:val="004D4B5C"/>
    <w:rsid w:val="004E0818"/>
    <w:rsid w:val="004E184E"/>
    <w:rsid w:val="004E6552"/>
    <w:rsid w:val="004F40BE"/>
    <w:rsid w:val="004F4BEA"/>
    <w:rsid w:val="004F5941"/>
    <w:rsid w:val="004F652D"/>
    <w:rsid w:val="00502825"/>
    <w:rsid w:val="00506D80"/>
    <w:rsid w:val="00514CD2"/>
    <w:rsid w:val="005206DA"/>
    <w:rsid w:val="00525CA7"/>
    <w:rsid w:val="00530212"/>
    <w:rsid w:val="00533DD1"/>
    <w:rsid w:val="005446ED"/>
    <w:rsid w:val="00557320"/>
    <w:rsid w:val="00564C25"/>
    <w:rsid w:val="00564FB2"/>
    <w:rsid w:val="005659EF"/>
    <w:rsid w:val="00566A08"/>
    <w:rsid w:val="005672EA"/>
    <w:rsid w:val="00571B7A"/>
    <w:rsid w:val="00584F09"/>
    <w:rsid w:val="005907A2"/>
    <w:rsid w:val="005A1FFB"/>
    <w:rsid w:val="005A2843"/>
    <w:rsid w:val="005A28DC"/>
    <w:rsid w:val="005B674E"/>
    <w:rsid w:val="005C14B1"/>
    <w:rsid w:val="005C1B4C"/>
    <w:rsid w:val="005C3887"/>
    <w:rsid w:val="005C4EE2"/>
    <w:rsid w:val="005C5161"/>
    <w:rsid w:val="005C6136"/>
    <w:rsid w:val="005C756A"/>
    <w:rsid w:val="005D4376"/>
    <w:rsid w:val="005D5820"/>
    <w:rsid w:val="005E0478"/>
    <w:rsid w:val="005E1DE5"/>
    <w:rsid w:val="005F092D"/>
    <w:rsid w:val="005F277B"/>
    <w:rsid w:val="005F2BF5"/>
    <w:rsid w:val="00611A9C"/>
    <w:rsid w:val="006135E7"/>
    <w:rsid w:val="00620092"/>
    <w:rsid w:val="00633169"/>
    <w:rsid w:val="0064312B"/>
    <w:rsid w:val="006436E8"/>
    <w:rsid w:val="00647C54"/>
    <w:rsid w:val="0066125B"/>
    <w:rsid w:val="00676287"/>
    <w:rsid w:val="006874E7"/>
    <w:rsid w:val="00694A53"/>
    <w:rsid w:val="006A0492"/>
    <w:rsid w:val="006A0BF9"/>
    <w:rsid w:val="006A377B"/>
    <w:rsid w:val="006B445E"/>
    <w:rsid w:val="006B78F9"/>
    <w:rsid w:val="006C0E70"/>
    <w:rsid w:val="006C13BD"/>
    <w:rsid w:val="006C3092"/>
    <w:rsid w:val="006D4BDB"/>
    <w:rsid w:val="006E5EF6"/>
    <w:rsid w:val="006E7751"/>
    <w:rsid w:val="006F1B9D"/>
    <w:rsid w:val="006F6E4B"/>
    <w:rsid w:val="006F7551"/>
    <w:rsid w:val="00706EF2"/>
    <w:rsid w:val="00711A82"/>
    <w:rsid w:val="007201C9"/>
    <w:rsid w:val="00724D27"/>
    <w:rsid w:val="0072536D"/>
    <w:rsid w:val="00730BA3"/>
    <w:rsid w:val="00737FE6"/>
    <w:rsid w:val="00761F55"/>
    <w:rsid w:val="007671C1"/>
    <w:rsid w:val="007677A7"/>
    <w:rsid w:val="007730D9"/>
    <w:rsid w:val="00776A0A"/>
    <w:rsid w:val="00782154"/>
    <w:rsid w:val="00787E29"/>
    <w:rsid w:val="007963E6"/>
    <w:rsid w:val="007A21D8"/>
    <w:rsid w:val="007B0512"/>
    <w:rsid w:val="007C554D"/>
    <w:rsid w:val="007D1DD7"/>
    <w:rsid w:val="007D5E41"/>
    <w:rsid w:val="007F07F0"/>
    <w:rsid w:val="00806EE5"/>
    <w:rsid w:val="00810CA0"/>
    <w:rsid w:val="00832644"/>
    <w:rsid w:val="008344F0"/>
    <w:rsid w:val="0084209D"/>
    <w:rsid w:val="00850010"/>
    <w:rsid w:val="00866379"/>
    <w:rsid w:val="0087676B"/>
    <w:rsid w:val="008830BE"/>
    <w:rsid w:val="0088319A"/>
    <w:rsid w:val="00884096"/>
    <w:rsid w:val="00884E2B"/>
    <w:rsid w:val="008868FC"/>
    <w:rsid w:val="00897FB1"/>
    <w:rsid w:val="008A16D1"/>
    <w:rsid w:val="008A526E"/>
    <w:rsid w:val="008C0F98"/>
    <w:rsid w:val="008C3491"/>
    <w:rsid w:val="008C5A0F"/>
    <w:rsid w:val="008D6E6B"/>
    <w:rsid w:val="008E6E93"/>
    <w:rsid w:val="0090377F"/>
    <w:rsid w:val="00904C1B"/>
    <w:rsid w:val="009053CD"/>
    <w:rsid w:val="0091653B"/>
    <w:rsid w:val="00917948"/>
    <w:rsid w:val="009205E5"/>
    <w:rsid w:val="00924D71"/>
    <w:rsid w:val="0093308D"/>
    <w:rsid w:val="00936112"/>
    <w:rsid w:val="00936E74"/>
    <w:rsid w:val="00937559"/>
    <w:rsid w:val="009409E0"/>
    <w:rsid w:val="00946D6B"/>
    <w:rsid w:val="0094785A"/>
    <w:rsid w:val="009945EE"/>
    <w:rsid w:val="00997057"/>
    <w:rsid w:val="0099710F"/>
    <w:rsid w:val="009A369D"/>
    <w:rsid w:val="009C0042"/>
    <w:rsid w:val="009C4230"/>
    <w:rsid w:val="009C4244"/>
    <w:rsid w:val="009E077A"/>
    <w:rsid w:val="009E2275"/>
    <w:rsid w:val="009F3EF1"/>
    <w:rsid w:val="009F7E32"/>
    <w:rsid w:val="00A00471"/>
    <w:rsid w:val="00A1383A"/>
    <w:rsid w:val="00A1512A"/>
    <w:rsid w:val="00A15A65"/>
    <w:rsid w:val="00A338A0"/>
    <w:rsid w:val="00A350A3"/>
    <w:rsid w:val="00A408C5"/>
    <w:rsid w:val="00A4205B"/>
    <w:rsid w:val="00A46333"/>
    <w:rsid w:val="00A70AD7"/>
    <w:rsid w:val="00A80E36"/>
    <w:rsid w:val="00A82432"/>
    <w:rsid w:val="00A83242"/>
    <w:rsid w:val="00A8557A"/>
    <w:rsid w:val="00A86F4D"/>
    <w:rsid w:val="00A87D14"/>
    <w:rsid w:val="00A92BA3"/>
    <w:rsid w:val="00AA3396"/>
    <w:rsid w:val="00AA3D58"/>
    <w:rsid w:val="00AA5A4D"/>
    <w:rsid w:val="00AB4309"/>
    <w:rsid w:val="00AC5089"/>
    <w:rsid w:val="00AD0BD3"/>
    <w:rsid w:val="00AD3A2C"/>
    <w:rsid w:val="00AD7D8F"/>
    <w:rsid w:val="00AE12AB"/>
    <w:rsid w:val="00AE2053"/>
    <w:rsid w:val="00AE3BB4"/>
    <w:rsid w:val="00AE6EA5"/>
    <w:rsid w:val="00AE7306"/>
    <w:rsid w:val="00AF1927"/>
    <w:rsid w:val="00AF28C6"/>
    <w:rsid w:val="00B002CF"/>
    <w:rsid w:val="00B31F1F"/>
    <w:rsid w:val="00B34267"/>
    <w:rsid w:val="00B36FD1"/>
    <w:rsid w:val="00B442F9"/>
    <w:rsid w:val="00B45C27"/>
    <w:rsid w:val="00B51367"/>
    <w:rsid w:val="00B52B16"/>
    <w:rsid w:val="00B55B1D"/>
    <w:rsid w:val="00B56B95"/>
    <w:rsid w:val="00B57DBC"/>
    <w:rsid w:val="00B60AC2"/>
    <w:rsid w:val="00B61709"/>
    <w:rsid w:val="00B7464C"/>
    <w:rsid w:val="00B8286E"/>
    <w:rsid w:val="00B84148"/>
    <w:rsid w:val="00B863A2"/>
    <w:rsid w:val="00B97FA2"/>
    <w:rsid w:val="00BA04DA"/>
    <w:rsid w:val="00BE0415"/>
    <w:rsid w:val="00BE2537"/>
    <w:rsid w:val="00BF73A1"/>
    <w:rsid w:val="00C10274"/>
    <w:rsid w:val="00C166AE"/>
    <w:rsid w:val="00C318FB"/>
    <w:rsid w:val="00C31AB1"/>
    <w:rsid w:val="00C32219"/>
    <w:rsid w:val="00C4203C"/>
    <w:rsid w:val="00C7770C"/>
    <w:rsid w:val="00C7787D"/>
    <w:rsid w:val="00C80F70"/>
    <w:rsid w:val="00C8244B"/>
    <w:rsid w:val="00C9162D"/>
    <w:rsid w:val="00C94654"/>
    <w:rsid w:val="00C95D9D"/>
    <w:rsid w:val="00CA5EA1"/>
    <w:rsid w:val="00CB435D"/>
    <w:rsid w:val="00CB7E6A"/>
    <w:rsid w:val="00CC5BBA"/>
    <w:rsid w:val="00CD3CF6"/>
    <w:rsid w:val="00CD7013"/>
    <w:rsid w:val="00CE71C7"/>
    <w:rsid w:val="00CF16E2"/>
    <w:rsid w:val="00CF7D09"/>
    <w:rsid w:val="00D00921"/>
    <w:rsid w:val="00D01FD5"/>
    <w:rsid w:val="00D1062A"/>
    <w:rsid w:val="00D26DB4"/>
    <w:rsid w:val="00D27008"/>
    <w:rsid w:val="00D32760"/>
    <w:rsid w:val="00D412D9"/>
    <w:rsid w:val="00D60082"/>
    <w:rsid w:val="00D60740"/>
    <w:rsid w:val="00D6199A"/>
    <w:rsid w:val="00D63371"/>
    <w:rsid w:val="00D64AC5"/>
    <w:rsid w:val="00D93C54"/>
    <w:rsid w:val="00D95960"/>
    <w:rsid w:val="00D966AC"/>
    <w:rsid w:val="00D96775"/>
    <w:rsid w:val="00DA53AF"/>
    <w:rsid w:val="00DB7640"/>
    <w:rsid w:val="00DC153C"/>
    <w:rsid w:val="00DC36C6"/>
    <w:rsid w:val="00DD2D69"/>
    <w:rsid w:val="00DD7129"/>
    <w:rsid w:val="00DE38DF"/>
    <w:rsid w:val="00E31C53"/>
    <w:rsid w:val="00E362F1"/>
    <w:rsid w:val="00E45BD9"/>
    <w:rsid w:val="00E47E4E"/>
    <w:rsid w:val="00E56953"/>
    <w:rsid w:val="00E56D2F"/>
    <w:rsid w:val="00E67696"/>
    <w:rsid w:val="00E67B2B"/>
    <w:rsid w:val="00E72CA9"/>
    <w:rsid w:val="00E7412D"/>
    <w:rsid w:val="00E75483"/>
    <w:rsid w:val="00E80073"/>
    <w:rsid w:val="00E940C1"/>
    <w:rsid w:val="00E95C27"/>
    <w:rsid w:val="00E974D2"/>
    <w:rsid w:val="00EA479B"/>
    <w:rsid w:val="00EB0343"/>
    <w:rsid w:val="00EB1365"/>
    <w:rsid w:val="00EB2C0D"/>
    <w:rsid w:val="00EC6B78"/>
    <w:rsid w:val="00ED180B"/>
    <w:rsid w:val="00ED22F7"/>
    <w:rsid w:val="00ED534F"/>
    <w:rsid w:val="00ED540B"/>
    <w:rsid w:val="00EF2D3B"/>
    <w:rsid w:val="00F04E95"/>
    <w:rsid w:val="00F076B2"/>
    <w:rsid w:val="00F152B3"/>
    <w:rsid w:val="00F167CE"/>
    <w:rsid w:val="00F17060"/>
    <w:rsid w:val="00F21090"/>
    <w:rsid w:val="00F30380"/>
    <w:rsid w:val="00F3197C"/>
    <w:rsid w:val="00F320A4"/>
    <w:rsid w:val="00F424BE"/>
    <w:rsid w:val="00F44AD3"/>
    <w:rsid w:val="00F4675B"/>
    <w:rsid w:val="00F46F7E"/>
    <w:rsid w:val="00F573D9"/>
    <w:rsid w:val="00F6344B"/>
    <w:rsid w:val="00F71137"/>
    <w:rsid w:val="00F73B52"/>
    <w:rsid w:val="00F74F91"/>
    <w:rsid w:val="00F774EA"/>
    <w:rsid w:val="00F84F8D"/>
    <w:rsid w:val="00F86C21"/>
    <w:rsid w:val="00F87137"/>
    <w:rsid w:val="00F90199"/>
    <w:rsid w:val="00F90749"/>
    <w:rsid w:val="00FA10DA"/>
    <w:rsid w:val="00FA416E"/>
    <w:rsid w:val="00FB1F26"/>
    <w:rsid w:val="00FB74B1"/>
    <w:rsid w:val="00FD023B"/>
    <w:rsid w:val="00FE053E"/>
    <w:rsid w:val="00FE34DB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44A6-3F4D-4EEC-9B40-A89C2537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D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D412D9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12D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12D9"/>
  </w:style>
  <w:style w:type="paragraph" w:styleId="Revzia">
    <w:name w:val="Revision"/>
    <w:hidden/>
    <w:uiPriority w:val="99"/>
    <w:semiHidden/>
    <w:rsid w:val="00530212"/>
    <w:pPr>
      <w:spacing w:after="0" w:line="240" w:lineRule="auto"/>
    </w:pPr>
  </w:style>
  <w:style w:type="paragraph" w:customStyle="1" w:styleId="Rub3">
    <w:name w:val="Rub3"/>
    <w:basedOn w:val="Normlny"/>
    <w:next w:val="Normlny"/>
    <w:rsid w:val="00CE71C7"/>
    <w:pPr>
      <w:widowControl w:val="0"/>
      <w:tabs>
        <w:tab w:val="left" w:pos="70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cs-CZ"/>
    </w:rPr>
  </w:style>
  <w:style w:type="paragraph" w:styleId="Zoznamsodrkami">
    <w:name w:val="List Bullet"/>
    <w:basedOn w:val="Zkladntext"/>
    <w:qFormat/>
    <w:rsid w:val="002A6965"/>
    <w:pPr>
      <w:numPr>
        <w:numId w:val="15"/>
      </w:numPr>
    </w:pPr>
  </w:style>
  <w:style w:type="paragraph" w:styleId="Normlnywebov">
    <w:name w:val="Normal (Web)"/>
    <w:basedOn w:val="Normlny"/>
    <w:uiPriority w:val="99"/>
    <w:unhideWhenUsed/>
    <w:rsid w:val="00A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AD9D-A2C9-41CC-B8BB-E4FFE42D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11118</Characters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2015-09-14T05:51:00Z</dcterms:created>
  <dcterms:modified xsi:type="dcterms:W3CDTF">2015-09-14T08:58:00Z</dcterms:modified>
</cp:coreProperties>
</file>