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B" w:rsidRPr="00F03046" w:rsidRDefault="006F1275" w:rsidP="006F1275">
      <w:pPr>
        <w:spacing w:after="0" w:line="240" w:lineRule="auto"/>
        <w:jc w:val="both"/>
        <w:rPr>
          <w:b/>
          <w:color w:val="1F497D"/>
        </w:rPr>
      </w:pPr>
      <w:r w:rsidRPr="00F03046">
        <w:rPr>
          <w:b/>
          <w:color w:val="1F497D"/>
        </w:rPr>
        <w:t>Často kladené o</w:t>
      </w:r>
      <w:r w:rsidR="00F84B37" w:rsidRPr="00F03046">
        <w:rPr>
          <w:b/>
          <w:color w:val="1F497D"/>
        </w:rPr>
        <w:t xml:space="preserve">tázky </w:t>
      </w:r>
      <w:r w:rsidRPr="00F03046">
        <w:rPr>
          <w:b/>
          <w:color w:val="1F497D"/>
        </w:rPr>
        <w:t xml:space="preserve">žiadateľov </w:t>
      </w:r>
      <w:r w:rsidR="00F84B37" w:rsidRPr="00F03046">
        <w:rPr>
          <w:b/>
          <w:color w:val="1F497D"/>
        </w:rPr>
        <w:t>a</w:t>
      </w:r>
      <w:r w:rsidRPr="00F03046">
        <w:rPr>
          <w:b/>
          <w:color w:val="1F497D"/>
        </w:rPr>
        <w:t> </w:t>
      </w:r>
      <w:r w:rsidR="00F84B37" w:rsidRPr="00F03046">
        <w:rPr>
          <w:b/>
          <w:color w:val="1F497D"/>
        </w:rPr>
        <w:t>odpovede</w:t>
      </w:r>
      <w:r w:rsidRPr="00F03046">
        <w:rPr>
          <w:b/>
          <w:color w:val="1F497D"/>
        </w:rPr>
        <w:t xml:space="preserve"> RO pre ROP</w:t>
      </w:r>
      <w:r w:rsidR="00F84B37" w:rsidRPr="00F03046">
        <w:rPr>
          <w:b/>
          <w:color w:val="1F497D"/>
        </w:rPr>
        <w:t xml:space="preserve"> k výzve ROP-1.1-2014/01 </w:t>
      </w:r>
      <w:r w:rsidRPr="00F03046">
        <w:rPr>
          <w:b/>
          <w:color w:val="1F497D"/>
        </w:rPr>
        <w:t>s názvom „Podpora infraštruktúry vzdelávania marginalizovaných rómskych komunít s väzbou na Lokálne stratégie komplexného prístupu“</w:t>
      </w:r>
    </w:p>
    <w:p w:rsidR="00C905CB" w:rsidRPr="00EA1ADB" w:rsidRDefault="00C905CB" w:rsidP="006F1275">
      <w:pPr>
        <w:spacing w:after="0" w:line="240" w:lineRule="auto"/>
        <w:jc w:val="both"/>
        <w:rPr>
          <w:b/>
          <w:color w:val="1F497D"/>
        </w:rPr>
      </w:pPr>
    </w:p>
    <w:p w:rsidR="006F1275" w:rsidRDefault="006F1275" w:rsidP="006F1275">
      <w:pPr>
        <w:spacing w:after="0" w:line="240" w:lineRule="auto"/>
        <w:jc w:val="both"/>
        <w:rPr>
          <w:b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>Súlad žiadosti o NFP s</w:t>
      </w:r>
      <w:r>
        <w:rPr>
          <w:b/>
          <w:color w:val="1F497D"/>
        </w:rPr>
        <w:t>o</w:t>
      </w:r>
      <w:bookmarkStart w:id="0" w:name="_GoBack"/>
      <w:bookmarkEnd w:id="0"/>
      <w:r w:rsidRPr="00EA1ADB">
        <w:rPr>
          <w:b/>
          <w:color w:val="1F497D"/>
        </w:rPr>
        <w:t xml:space="preserve"> schválenou Lokálnou stratégiou komplexného prístupu</w:t>
      </w:r>
    </w:p>
    <w:p w:rsidR="00003407" w:rsidRPr="00EA1ADB" w:rsidRDefault="00003407" w:rsidP="00003407">
      <w:pPr>
        <w:spacing w:after="0" w:line="240" w:lineRule="auto"/>
        <w:jc w:val="both"/>
        <w:rPr>
          <w:b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</w:pPr>
      <w:r w:rsidRPr="00EA1ADB">
        <w:t>Musí byť rozpočet projektu (oprávnené výdavky projektu) presne v súlade s rozpočtom schváleným v Lokálnej stratégii komplexného prístupu? Je možné tento rozpočet navýšiť a budú tieto výdavky oprávnené?</w:t>
      </w:r>
    </w:p>
    <w:p w:rsidR="00003407" w:rsidRDefault="00003407" w:rsidP="00003407">
      <w:pPr>
        <w:spacing w:after="0" w:line="240" w:lineRule="auto"/>
        <w:jc w:val="both"/>
        <w:rPr>
          <w:rFonts w:cs="Calibri"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 xml:space="preserve">Žiadateľ musí dodržať výšku schválenej sumy v projektovom zámere, ktorý bol schválený v rámci Lokálnej stratégie komplexného prístupu. Všetky výdavky presahujúce sumu schválenú v rámci LSKxP je potrebné v žiadosti o NFP označiť ako neoprávnené. </w:t>
      </w:r>
    </w:p>
    <w:p w:rsidR="00003407" w:rsidRPr="00EA1ADB" w:rsidRDefault="00003407" w:rsidP="00003407">
      <w:pPr>
        <w:spacing w:after="0" w:line="240" w:lineRule="auto"/>
        <w:jc w:val="both"/>
        <w:rPr>
          <w:b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</w:pPr>
      <w:r>
        <w:t xml:space="preserve">V </w:t>
      </w:r>
      <w:r w:rsidRPr="00EA1ADB">
        <w:t>LSKxP bolo na stavebné práce plánovaných 360 000 EUR, na zariadenie 36 000 EUR. V tejto kalkulácii sa nerátalo ani so stavebným dozorom, bude tento oprávnený?</w:t>
      </w:r>
    </w:p>
    <w:p w:rsidR="00003407" w:rsidRDefault="00003407" w:rsidP="00003407">
      <w:pPr>
        <w:spacing w:after="0" w:line="240" w:lineRule="auto"/>
        <w:jc w:val="both"/>
        <w:rPr>
          <w:rFonts w:cs="Calibri"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>Pokiaľ plánujete meniť štruktúru alebo výšku výdavkov schváleného rozpočtu v rámci výzvy pre LSKxP budete musieť požiadať čo najskôr ešte pred podaním žiadosti o NFP žiadosť o zmenu na Úrad splnomocnenca pre rómske komunity – príslušného regionálneho pracovníka. (Vo výzve ROP sú v rámci projektových a inžinierskych prác oprávnené aj výdavky na stavebný dozor. Ak nemáte túto položku schválenú v rámci projektového zámeru LSKxP požiadajte si o zmenu na ÚSVRK.). Možnosť podania žiadosti o zmenu v rámci schváleného projektového zámeru LSKxP sa netýka navýšenia rozpočtu, ale iba zmien v rámci schválenej sumy.</w:t>
      </w:r>
    </w:p>
    <w:p w:rsidR="00003407" w:rsidRPr="00EA1ADB" w:rsidRDefault="00003407" w:rsidP="00003407">
      <w:pPr>
        <w:spacing w:after="0" w:line="240" w:lineRule="auto"/>
        <w:ind w:firstLine="360"/>
        <w:jc w:val="both"/>
        <w:rPr>
          <w:rFonts w:cs="Calibri"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</w:pPr>
      <w:r w:rsidRPr="00EA1ADB">
        <w:rPr>
          <w:rFonts w:cs="Arial"/>
        </w:rPr>
        <w:t xml:space="preserve">Je možné o súbežné podanie žiadosti o NFP so žiadosťou o poskytnutie podpory lokálnej stratégie kompl. prístupu alebo musí byť schválená pred dátumom ukončenia prijímania žiadostí? </w:t>
      </w:r>
    </w:p>
    <w:p w:rsidR="00003407" w:rsidRDefault="00003407" w:rsidP="00003407">
      <w:pPr>
        <w:spacing w:after="0" w:line="240" w:lineRule="auto"/>
        <w:jc w:val="both"/>
        <w:rPr>
          <w:rFonts w:cs="Calibri"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>Úrad splnomocnenca vlády SR pre rómske komunity cielene vyhlasuje výzvy pre Lokálne stratégie komplexného prístupu a uvedené výzvy na podporu vzdelávania sú už uzavreté. Nie je možné požiadať o súbežné podanie a schválenie žiadosti LSKP a žiadosti o NFP.</w:t>
      </w:r>
    </w:p>
    <w:p w:rsidR="00003407" w:rsidRDefault="00003407" w:rsidP="00003407">
      <w:pPr>
        <w:spacing w:after="0" w:line="240" w:lineRule="auto"/>
        <w:jc w:val="both"/>
        <w:rPr>
          <w:b/>
          <w:color w:val="1F497D"/>
        </w:rPr>
      </w:pPr>
    </w:p>
    <w:p w:rsidR="00003407" w:rsidRPr="00EA1ADB" w:rsidRDefault="00003407" w:rsidP="00003407">
      <w:pPr>
        <w:spacing w:after="0" w:line="240" w:lineRule="auto"/>
        <w:jc w:val="both"/>
        <w:rPr>
          <w:b/>
          <w:color w:val="1F497D"/>
        </w:rPr>
      </w:pPr>
    </w:p>
    <w:p w:rsidR="00C905CB" w:rsidRPr="00EA1ADB" w:rsidRDefault="00312FEE" w:rsidP="006F1275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>Dodržanie výšky benchmarkov</w:t>
      </w:r>
    </w:p>
    <w:p w:rsidR="00EA1ADB" w:rsidRPr="00EA1ADB" w:rsidRDefault="00EA1ADB" w:rsidP="006F1275">
      <w:pPr>
        <w:spacing w:after="0" w:line="240" w:lineRule="auto"/>
        <w:jc w:val="both"/>
        <w:rPr>
          <w:b/>
          <w:color w:val="1F497D"/>
        </w:rPr>
      </w:pPr>
    </w:p>
    <w:p w:rsidR="00302F69" w:rsidRPr="00EA1ADB" w:rsidRDefault="00302F69" w:rsidP="006F1275">
      <w:pPr>
        <w:spacing w:after="0" w:line="240" w:lineRule="auto"/>
        <w:jc w:val="both"/>
        <w:rPr>
          <w:color w:val="000000" w:themeColor="text1"/>
        </w:rPr>
      </w:pPr>
      <w:r w:rsidRPr="00EA1ADB">
        <w:t>Je nedodržanie výšky benchm</w:t>
      </w:r>
      <w:r w:rsidR="00060BCF" w:rsidRPr="00EA1ADB">
        <w:t>a</w:t>
      </w:r>
      <w:r w:rsidRPr="00EA1ADB">
        <w:t xml:space="preserve">rku </w:t>
      </w:r>
      <w:r w:rsidRPr="00EA1ADB">
        <w:rPr>
          <w:color w:val="000000" w:themeColor="text1"/>
        </w:rPr>
        <w:t>diskvalifikačné? (</w:t>
      </w:r>
      <w:r w:rsidR="00EE0788" w:rsidRPr="00EA1ADB">
        <w:rPr>
          <w:color w:val="000000" w:themeColor="text1"/>
        </w:rPr>
        <w:t>O</w:t>
      </w:r>
      <w:r w:rsidRPr="00EA1ADB">
        <w:rPr>
          <w:color w:val="000000" w:themeColor="text1"/>
        </w:rPr>
        <w:t>tázka k výške benchmarkov na žiaka je uvedená v rámci Opisu projektu 3.1.</w:t>
      </w:r>
      <w:r w:rsidR="00E6181C">
        <w:rPr>
          <w:color w:val="000000" w:themeColor="text1"/>
        </w:rPr>
        <w:t xml:space="preserve"> </w:t>
      </w:r>
      <w:r w:rsidR="005E0392" w:rsidRPr="00EA1ADB">
        <w:rPr>
          <w:color w:val="000000" w:themeColor="text1"/>
        </w:rPr>
        <w:t>V</w:t>
      </w:r>
      <w:r w:rsidRPr="00EA1ADB">
        <w:rPr>
          <w:color w:val="000000" w:themeColor="text1"/>
        </w:rPr>
        <w:t xml:space="preserve"> prípade intervencií do základných škôl </w:t>
      </w:r>
      <w:r w:rsidR="005E0392" w:rsidRPr="00EA1ADB">
        <w:rPr>
          <w:color w:val="000000" w:themeColor="text1"/>
        </w:rPr>
        <w:t xml:space="preserve">predstavuje 2 323,58 EUR/žiak </w:t>
      </w:r>
      <w:r w:rsidRPr="00EA1ADB">
        <w:rPr>
          <w:color w:val="000000" w:themeColor="text1"/>
        </w:rPr>
        <w:t>resp. 3 319,40 EUR/dieťa v prípade intervencií do predškolských zariadení</w:t>
      </w:r>
      <w:r w:rsidR="00EE0788" w:rsidRPr="00EA1ADB">
        <w:rPr>
          <w:color w:val="000000" w:themeColor="text1"/>
        </w:rPr>
        <w:t>.</w:t>
      </w:r>
      <w:r w:rsidRPr="00EA1ADB">
        <w:rPr>
          <w:color w:val="000000" w:themeColor="text1"/>
        </w:rPr>
        <w:t>)</w:t>
      </w:r>
    </w:p>
    <w:p w:rsidR="00ED0BC5" w:rsidRDefault="00ED0BC5" w:rsidP="006F1275">
      <w:pPr>
        <w:spacing w:after="0" w:line="240" w:lineRule="auto"/>
        <w:jc w:val="both"/>
        <w:rPr>
          <w:color w:val="1F497D"/>
        </w:rPr>
      </w:pPr>
    </w:p>
    <w:p w:rsidR="00302F69" w:rsidRPr="00EA1ADB" w:rsidRDefault="00302F69" w:rsidP="006F1275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>N</w:t>
      </w:r>
      <w:r w:rsidR="00BF5D21" w:rsidRPr="00EA1ADB">
        <w:rPr>
          <w:color w:val="1F497D"/>
        </w:rPr>
        <w:t xml:space="preserve">edodržanie výšky benchmarku neznamená automatické vylúčenie žiadosti o NFP. Benchmarky sú smerné ukazovatele platné pre všetky projekty, ktoré sú realizované v rámci opatrenia. Každá žiadosť </w:t>
      </w:r>
      <w:r w:rsidR="00D552B6" w:rsidRPr="00EA1ADB">
        <w:rPr>
          <w:color w:val="1F497D"/>
        </w:rPr>
        <w:t xml:space="preserve">o NFP </w:t>
      </w:r>
      <w:r w:rsidR="00BF5D21" w:rsidRPr="00EA1ADB">
        <w:rPr>
          <w:color w:val="1F497D"/>
        </w:rPr>
        <w:t xml:space="preserve">bude v rámci odborného hodnotenia posudzovaná </w:t>
      </w:r>
      <w:r w:rsidR="005E0392" w:rsidRPr="00EA1ADB">
        <w:rPr>
          <w:color w:val="1F497D"/>
        </w:rPr>
        <w:t xml:space="preserve">individuálne </w:t>
      </w:r>
      <w:r w:rsidR="00BF5D21" w:rsidRPr="00EA1ADB">
        <w:rPr>
          <w:color w:val="1F497D"/>
        </w:rPr>
        <w:t xml:space="preserve">v kontexte všetkých </w:t>
      </w:r>
      <w:r w:rsidR="00707975" w:rsidRPr="00EA1ADB">
        <w:rPr>
          <w:color w:val="1F497D"/>
        </w:rPr>
        <w:t>platných</w:t>
      </w:r>
      <w:r w:rsidR="00BF5D21" w:rsidRPr="00EA1ADB">
        <w:rPr>
          <w:color w:val="1F497D"/>
        </w:rPr>
        <w:t xml:space="preserve"> kritérií</w:t>
      </w:r>
      <w:r w:rsidR="00707975" w:rsidRPr="00EA1ADB">
        <w:rPr>
          <w:color w:val="1F497D"/>
        </w:rPr>
        <w:t xml:space="preserve"> hodnotenia a výberu</w:t>
      </w:r>
      <w:r w:rsidR="00BF5D21" w:rsidRPr="00EA1ADB">
        <w:rPr>
          <w:color w:val="1F497D"/>
        </w:rPr>
        <w:t xml:space="preserve">. </w:t>
      </w:r>
    </w:p>
    <w:p w:rsidR="00ED0BC5" w:rsidRDefault="00ED0BC5" w:rsidP="006F1275">
      <w:pPr>
        <w:spacing w:after="0" w:line="240" w:lineRule="auto"/>
        <w:jc w:val="both"/>
        <w:rPr>
          <w:color w:val="000000" w:themeColor="text1"/>
        </w:rPr>
      </w:pPr>
    </w:p>
    <w:p w:rsidR="00060BCF" w:rsidRPr="00EA1ADB" w:rsidRDefault="00060BCF" w:rsidP="006F1275">
      <w:pPr>
        <w:spacing w:after="0" w:line="240" w:lineRule="auto"/>
        <w:jc w:val="both"/>
        <w:rPr>
          <w:color w:val="000000" w:themeColor="text1"/>
        </w:rPr>
      </w:pPr>
      <w:r w:rsidRPr="00EA1ADB">
        <w:rPr>
          <w:color w:val="000000" w:themeColor="text1"/>
        </w:rPr>
        <w:t xml:space="preserve">Z ktorého </w:t>
      </w:r>
      <w:r w:rsidR="00F32B81">
        <w:rPr>
          <w:color w:val="000000" w:themeColor="text1"/>
        </w:rPr>
        <w:t xml:space="preserve">školského </w:t>
      </w:r>
      <w:r w:rsidRPr="00EA1ADB">
        <w:rPr>
          <w:color w:val="000000" w:themeColor="text1"/>
        </w:rPr>
        <w:t xml:space="preserve">roku je potrebné vychádzať pri stanovovaní benchmarkov a počtu žiakov? </w:t>
      </w:r>
    </w:p>
    <w:p w:rsidR="00ED0BC5" w:rsidRDefault="00ED0BC5" w:rsidP="006F1275">
      <w:pPr>
        <w:spacing w:after="0" w:line="240" w:lineRule="auto"/>
        <w:jc w:val="both"/>
        <w:rPr>
          <w:color w:val="1F497D"/>
        </w:rPr>
      </w:pPr>
    </w:p>
    <w:p w:rsidR="00EE0788" w:rsidRPr="00EA1ADB" w:rsidRDefault="00EE0788" w:rsidP="006F1275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 xml:space="preserve">Keďže celkové ukončenie výzvy je plánované na október 2014, pri stanovení benchmarkov na žiaka </w:t>
      </w:r>
      <w:r w:rsidR="00060BCF" w:rsidRPr="00EA1ADB">
        <w:rPr>
          <w:color w:val="1F497D"/>
        </w:rPr>
        <w:t>je</w:t>
      </w:r>
      <w:r w:rsidRPr="00EA1ADB">
        <w:rPr>
          <w:color w:val="1F497D"/>
        </w:rPr>
        <w:t xml:space="preserve"> potrebné vychádzať z aktuálneho školského roku, t. j. 2014/2015, ktorý začína od septembra 2014.</w:t>
      </w:r>
    </w:p>
    <w:p w:rsidR="004C300D" w:rsidRPr="00EA1ADB" w:rsidRDefault="004C300D" w:rsidP="006F1275">
      <w:pPr>
        <w:spacing w:after="0" w:line="240" w:lineRule="auto"/>
        <w:jc w:val="both"/>
        <w:rPr>
          <w:color w:val="1F497D"/>
        </w:rPr>
      </w:pPr>
    </w:p>
    <w:p w:rsidR="004C300D" w:rsidRPr="00EA1ADB" w:rsidRDefault="004C300D" w:rsidP="006F1275">
      <w:pPr>
        <w:spacing w:after="0" w:line="240" w:lineRule="auto"/>
        <w:jc w:val="both"/>
        <w:rPr>
          <w:color w:val="000000" w:themeColor="text1"/>
        </w:rPr>
      </w:pPr>
      <w:r w:rsidRPr="00EA1ADB">
        <w:lastRenderedPageBreak/>
        <w:t xml:space="preserve">Je </w:t>
      </w:r>
      <w:r w:rsidRPr="00EA1ADB">
        <w:rPr>
          <w:bCs/>
        </w:rPr>
        <w:t>počet</w:t>
      </w:r>
      <w:r w:rsidRPr="00EA1ADB">
        <w:t xml:space="preserve"> žiakov z MRK, ktorí navštevujú školu a budú využívateľmi výsledkov projektu hodnotiacim alebo výberovým </w:t>
      </w:r>
      <w:r w:rsidRPr="00EA1ADB">
        <w:rPr>
          <w:color w:val="000000" w:themeColor="text1"/>
        </w:rPr>
        <w:t xml:space="preserve">kritériom? (Otázka k počtu žiakov je uvedená ako prvá v rámci opisu projektu </w:t>
      </w:r>
      <w:r w:rsidR="00707975" w:rsidRPr="00EA1ADB">
        <w:rPr>
          <w:color w:val="000000" w:themeColor="text1"/>
        </w:rPr>
        <w:t xml:space="preserve">- </w:t>
      </w:r>
      <w:r w:rsidRPr="00EA1ADB">
        <w:rPr>
          <w:color w:val="000000" w:themeColor="text1"/>
        </w:rPr>
        <w:t xml:space="preserve">časť 7).  </w:t>
      </w:r>
    </w:p>
    <w:p w:rsidR="00ED0BC5" w:rsidRDefault="00ED0BC5" w:rsidP="006F1275">
      <w:pPr>
        <w:spacing w:after="0" w:line="240" w:lineRule="auto"/>
        <w:jc w:val="both"/>
        <w:rPr>
          <w:color w:val="1F497D"/>
        </w:rPr>
      </w:pPr>
    </w:p>
    <w:p w:rsidR="004C300D" w:rsidRPr="00EA1ADB" w:rsidRDefault="004C300D" w:rsidP="006F1275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>Nedodržanie odporučeného počtu žiakov 200</w:t>
      </w:r>
      <w:r w:rsidR="005F1501">
        <w:rPr>
          <w:color w:val="1F497D"/>
        </w:rPr>
        <w:t xml:space="preserve"> (v zmysle stratégie ROP)</w:t>
      </w:r>
      <w:r w:rsidRPr="00EA1ADB">
        <w:rPr>
          <w:color w:val="1F497D"/>
        </w:rPr>
        <w:t xml:space="preserve"> neznamená diskvalifikáciu žiadosti</w:t>
      </w:r>
      <w:r w:rsidR="00D552B6" w:rsidRPr="00EA1ADB">
        <w:rPr>
          <w:color w:val="1F497D"/>
        </w:rPr>
        <w:t xml:space="preserve"> o</w:t>
      </w:r>
      <w:r w:rsidR="005F1501">
        <w:rPr>
          <w:color w:val="1F497D"/>
        </w:rPr>
        <w:t> </w:t>
      </w:r>
      <w:r w:rsidR="00D552B6" w:rsidRPr="00EA1ADB">
        <w:rPr>
          <w:color w:val="1F497D"/>
        </w:rPr>
        <w:t>NFP</w:t>
      </w:r>
      <w:r w:rsidR="005F1501">
        <w:rPr>
          <w:color w:val="1F497D"/>
        </w:rPr>
        <w:t xml:space="preserve"> v rámci výzvy</w:t>
      </w:r>
      <w:r w:rsidRPr="00EA1ADB">
        <w:rPr>
          <w:color w:val="1F497D"/>
        </w:rPr>
        <w:t>. Každá žiadosť bude v rámci odborného hodnotenia individuálne</w:t>
      </w:r>
      <w:r w:rsidR="00707975" w:rsidRPr="00EA1ADB">
        <w:rPr>
          <w:color w:val="1F497D"/>
        </w:rPr>
        <w:t xml:space="preserve"> </w:t>
      </w:r>
      <w:r w:rsidRPr="00EA1ADB">
        <w:rPr>
          <w:color w:val="1F497D"/>
        </w:rPr>
        <w:t xml:space="preserve">posudzovaná v kontexte všetkých uverejnených kritérií. </w:t>
      </w:r>
    </w:p>
    <w:p w:rsidR="00EE0788" w:rsidRPr="00EA1ADB" w:rsidRDefault="00EE0788" w:rsidP="006F1275">
      <w:pPr>
        <w:spacing w:after="0" w:line="240" w:lineRule="auto"/>
        <w:jc w:val="both"/>
        <w:rPr>
          <w:color w:val="1F497D"/>
        </w:rPr>
      </w:pPr>
    </w:p>
    <w:p w:rsidR="00EA1ADB" w:rsidRPr="00EA1ADB" w:rsidRDefault="00EA1ADB" w:rsidP="006F1275">
      <w:pPr>
        <w:spacing w:after="0" w:line="240" w:lineRule="auto"/>
        <w:jc w:val="both"/>
        <w:rPr>
          <w:color w:val="1F497D"/>
        </w:rPr>
      </w:pPr>
    </w:p>
    <w:p w:rsidR="00C905CB" w:rsidRPr="00EA1ADB" w:rsidRDefault="00312FEE" w:rsidP="006F1275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>O</w:t>
      </w:r>
      <w:r w:rsidR="00C905CB" w:rsidRPr="00EA1ADB">
        <w:rPr>
          <w:b/>
          <w:color w:val="1F497D"/>
        </w:rPr>
        <w:t>právnenosť aktivít</w:t>
      </w:r>
      <w:r w:rsidRPr="00EA1ADB">
        <w:rPr>
          <w:b/>
          <w:color w:val="1F497D"/>
        </w:rPr>
        <w:t xml:space="preserve"> </w:t>
      </w:r>
    </w:p>
    <w:p w:rsidR="00EA1ADB" w:rsidRPr="00EA1ADB" w:rsidRDefault="00EA1ADB" w:rsidP="006F1275">
      <w:pPr>
        <w:spacing w:after="0" w:line="240" w:lineRule="auto"/>
        <w:jc w:val="both"/>
        <w:rPr>
          <w:b/>
          <w:color w:val="1F497D"/>
        </w:rPr>
      </w:pPr>
    </w:p>
    <w:p w:rsidR="00A00E14" w:rsidRPr="00EA1ADB" w:rsidRDefault="00312FEE" w:rsidP="006F1275">
      <w:pPr>
        <w:spacing w:after="0" w:line="240" w:lineRule="auto"/>
        <w:jc w:val="both"/>
      </w:pPr>
      <w:r w:rsidRPr="00EA1ADB">
        <w:t>Je rekonštrukcia</w:t>
      </w:r>
      <w:r w:rsidR="00A00E14" w:rsidRPr="00EA1ADB">
        <w:t xml:space="preserve"> ihriska</w:t>
      </w:r>
      <w:r w:rsidRPr="00EA1ADB">
        <w:t>, alebo rekonštrukcia telocvične</w:t>
      </w:r>
      <w:r w:rsidR="00A00E14" w:rsidRPr="00EA1ADB">
        <w:t xml:space="preserve"> oprávnenou aktivitou?</w:t>
      </w:r>
      <w:r w:rsidRPr="00EA1ADB">
        <w:t xml:space="preserve"> </w:t>
      </w:r>
    </w:p>
    <w:p w:rsidR="00ED0BC5" w:rsidRDefault="00ED0BC5" w:rsidP="006F1275">
      <w:pPr>
        <w:spacing w:after="0" w:line="240" w:lineRule="auto"/>
        <w:jc w:val="both"/>
        <w:rPr>
          <w:color w:val="1F497D"/>
        </w:rPr>
      </w:pPr>
    </w:p>
    <w:p w:rsidR="00A00E14" w:rsidRPr="00EA1ADB" w:rsidRDefault="00A00E14" w:rsidP="006F1275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>Rekonštrukcia ihriska</w:t>
      </w:r>
      <w:r w:rsidR="00312FEE" w:rsidRPr="00EA1ADB">
        <w:rPr>
          <w:color w:val="1F497D"/>
        </w:rPr>
        <w:t xml:space="preserve"> a telocične</w:t>
      </w:r>
      <w:r w:rsidRPr="00EA1ADB">
        <w:rPr>
          <w:color w:val="1F497D"/>
        </w:rPr>
        <w:t xml:space="preserve"> </w:t>
      </w:r>
      <w:r w:rsidR="00EC0E17" w:rsidRPr="00EA1ADB">
        <w:rPr>
          <w:color w:val="1F497D"/>
        </w:rPr>
        <w:t>sú</w:t>
      </w:r>
      <w:r w:rsidRPr="00EA1ADB">
        <w:rPr>
          <w:color w:val="1F497D"/>
        </w:rPr>
        <w:t xml:space="preserve"> oprávn</w:t>
      </w:r>
      <w:r w:rsidR="00EC0E17" w:rsidRPr="00EA1ADB">
        <w:rPr>
          <w:color w:val="1F497D"/>
        </w:rPr>
        <w:t>enými</w:t>
      </w:r>
      <w:r w:rsidRPr="00EA1ADB">
        <w:rPr>
          <w:color w:val="1F497D"/>
        </w:rPr>
        <w:t xml:space="preserve"> aktivit</w:t>
      </w:r>
      <w:r w:rsidR="00EC0E17" w:rsidRPr="00EA1ADB">
        <w:rPr>
          <w:color w:val="1F497D"/>
        </w:rPr>
        <w:t>ami</w:t>
      </w:r>
      <w:r w:rsidRPr="00EA1ADB">
        <w:rPr>
          <w:color w:val="1F497D"/>
        </w:rPr>
        <w:t xml:space="preserve"> v zmysle časti 4.3 výzvy</w:t>
      </w:r>
      <w:r w:rsidR="00EC0E17" w:rsidRPr="00EA1ADB">
        <w:rPr>
          <w:color w:val="1F497D"/>
        </w:rPr>
        <w:t>.</w:t>
      </w:r>
      <w:r w:rsidRPr="00EA1ADB">
        <w:rPr>
          <w:color w:val="1F497D"/>
        </w:rPr>
        <w:t xml:space="preserve"> </w:t>
      </w:r>
    </w:p>
    <w:p w:rsidR="00C905CB" w:rsidRPr="00EA1ADB" w:rsidRDefault="00C905CB" w:rsidP="006F1275">
      <w:pPr>
        <w:spacing w:after="0" w:line="240" w:lineRule="auto"/>
        <w:jc w:val="both"/>
        <w:rPr>
          <w:b/>
          <w:color w:val="1F497D"/>
        </w:rPr>
      </w:pPr>
    </w:p>
    <w:p w:rsidR="00060BCF" w:rsidRPr="00EA1ADB" w:rsidRDefault="00A00E14" w:rsidP="006F1275">
      <w:pPr>
        <w:spacing w:after="0" w:line="240" w:lineRule="auto"/>
        <w:jc w:val="both"/>
      </w:pPr>
      <w:r w:rsidRPr="00EA1ADB">
        <w:t xml:space="preserve">Je oprávnená aj výstavba </w:t>
      </w:r>
      <w:r w:rsidR="00060BCF" w:rsidRPr="00EA1ADB">
        <w:t xml:space="preserve">novej </w:t>
      </w:r>
      <w:r w:rsidRPr="00EA1ADB">
        <w:t>telocvične</w:t>
      </w:r>
      <w:r w:rsidR="00312FEE" w:rsidRPr="00EA1ADB">
        <w:t>?</w:t>
      </w:r>
      <w:r w:rsidRPr="00EA1ADB">
        <w:t xml:space="preserve"> </w:t>
      </w:r>
    </w:p>
    <w:p w:rsidR="00ED0BC5" w:rsidRDefault="00ED0BC5" w:rsidP="006F1275">
      <w:pPr>
        <w:spacing w:after="0" w:line="240" w:lineRule="auto"/>
        <w:jc w:val="both"/>
        <w:rPr>
          <w:color w:val="1F497D"/>
        </w:rPr>
      </w:pPr>
    </w:p>
    <w:p w:rsidR="00A00E14" w:rsidRPr="00EA1ADB" w:rsidRDefault="00060BCF" w:rsidP="006F1275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>R</w:t>
      </w:r>
      <w:r w:rsidR="00A00E14" w:rsidRPr="00EA1ADB">
        <w:rPr>
          <w:color w:val="1F497D"/>
        </w:rPr>
        <w:t xml:space="preserve">ealizácia nových stavieb a teda </w:t>
      </w:r>
      <w:r w:rsidR="001F0AB7">
        <w:rPr>
          <w:color w:val="1F497D"/>
        </w:rPr>
        <w:t xml:space="preserve">ani </w:t>
      </w:r>
      <w:r w:rsidR="00A00E14" w:rsidRPr="00EA1ADB">
        <w:rPr>
          <w:color w:val="1F497D"/>
        </w:rPr>
        <w:t xml:space="preserve">výstavba </w:t>
      </w:r>
      <w:r w:rsidR="00D552B6" w:rsidRPr="00EA1ADB">
        <w:rPr>
          <w:color w:val="1F497D"/>
        </w:rPr>
        <w:t xml:space="preserve">novej </w:t>
      </w:r>
      <w:r w:rsidR="00A00E14" w:rsidRPr="00EA1ADB">
        <w:rPr>
          <w:color w:val="1F497D"/>
        </w:rPr>
        <w:t>telocvične</w:t>
      </w:r>
      <w:r w:rsidR="001F0AB7">
        <w:rPr>
          <w:color w:val="1F497D"/>
        </w:rPr>
        <w:t xml:space="preserve"> </w:t>
      </w:r>
      <w:r w:rsidRPr="00EA1ADB">
        <w:rPr>
          <w:color w:val="1F497D"/>
        </w:rPr>
        <w:t xml:space="preserve">nie je </w:t>
      </w:r>
      <w:r w:rsidR="00A00E14" w:rsidRPr="00EA1ADB">
        <w:rPr>
          <w:color w:val="1F497D"/>
        </w:rPr>
        <w:t>oprávneným výdavkom</w:t>
      </w:r>
      <w:r w:rsidR="00D552B6" w:rsidRPr="00EA1ADB">
        <w:rPr>
          <w:color w:val="1F497D"/>
        </w:rPr>
        <w:t xml:space="preserve"> v rámci výzvy</w:t>
      </w:r>
      <w:r w:rsidRPr="00EA1ADB">
        <w:rPr>
          <w:color w:val="1F497D"/>
        </w:rPr>
        <w:t>.</w:t>
      </w:r>
    </w:p>
    <w:p w:rsidR="00312FEE" w:rsidRPr="00EA1ADB" w:rsidRDefault="00312FEE" w:rsidP="006F1275">
      <w:pPr>
        <w:spacing w:after="0" w:line="240" w:lineRule="auto"/>
        <w:jc w:val="both"/>
      </w:pPr>
    </w:p>
    <w:p w:rsidR="00814529" w:rsidRDefault="00814529" w:rsidP="00814529">
      <w:pPr>
        <w:pStyle w:val="Obyajntext"/>
        <w:jc w:val="both"/>
        <w:rPr>
          <w:rFonts w:asciiTheme="minorHAnsi" w:hAnsiTheme="minorHAnsi"/>
          <w:szCs w:val="22"/>
        </w:rPr>
      </w:pPr>
      <w:r w:rsidRPr="00EA1ADB">
        <w:rPr>
          <w:rFonts w:asciiTheme="minorHAnsi" w:hAnsiTheme="minorHAnsi"/>
          <w:szCs w:val="22"/>
        </w:rPr>
        <w:t xml:space="preserve">Je kontajnerová </w:t>
      </w:r>
      <w:r>
        <w:rPr>
          <w:rFonts w:asciiTheme="minorHAnsi" w:hAnsiTheme="minorHAnsi"/>
          <w:szCs w:val="22"/>
        </w:rPr>
        <w:t>vý</w:t>
      </w:r>
      <w:r w:rsidRPr="00EA1ADB">
        <w:rPr>
          <w:rFonts w:asciiTheme="minorHAnsi" w:hAnsiTheme="minorHAnsi"/>
          <w:szCs w:val="22"/>
        </w:rPr>
        <w:t>stavba v súlade s výzvou ROP-1.1-2014/01?</w:t>
      </w:r>
    </w:p>
    <w:p w:rsidR="00814529" w:rsidRPr="00EA1ADB" w:rsidRDefault="00814529" w:rsidP="00814529">
      <w:pPr>
        <w:pStyle w:val="Obyajntext"/>
        <w:jc w:val="both"/>
        <w:rPr>
          <w:rFonts w:asciiTheme="minorHAnsi" w:hAnsiTheme="minorHAnsi"/>
          <w:szCs w:val="22"/>
        </w:rPr>
      </w:pPr>
    </w:p>
    <w:p w:rsidR="00814529" w:rsidRPr="00EA1ADB" w:rsidRDefault="00814529" w:rsidP="00814529">
      <w:pPr>
        <w:pStyle w:val="Obyajntext"/>
        <w:jc w:val="both"/>
        <w:rPr>
          <w:rFonts w:asciiTheme="minorHAnsi" w:hAnsiTheme="minorHAnsi" w:cs="Calibri"/>
          <w:color w:val="1F497D"/>
          <w:szCs w:val="22"/>
        </w:rPr>
      </w:pPr>
      <w:r w:rsidRPr="00EA1ADB">
        <w:rPr>
          <w:rFonts w:asciiTheme="minorHAnsi" w:hAnsiTheme="minorHAnsi" w:cs="Calibri"/>
          <w:color w:val="1F497D"/>
          <w:szCs w:val="22"/>
        </w:rPr>
        <w:t xml:space="preserve">Prioritným cieľom výzvy ROP-1.1-2014/01 je v zmysle jej časti 4.3 rekonštrukcia už existujúcich školských objektov a ich priestorov (oprávnená nie je výstavba nových objektov). V prípade kontajnerových prístavieb ide o špecifickú stavebnú aktivitu, ktorá si - vzhľadom na svoju špecifickosť  - vyžaduje presné zadefinovanie a zacielenie v rámci výzvy a v rámci stratégie ROP. Vzhľadom na to, že v stratégii Regionálneho operačného programu (pozri napr. ROP, Programový manuál ROP) a v opise oprávnených aktivít v časti 4.3 samotnej výzvy nie sú výslovne uvedené kontajnerové prístavby ako oprávnená a podporovaná aktivita, túto aktivitu nebude RO pre ROP považovať za oprávnenú. </w:t>
      </w:r>
    </w:p>
    <w:p w:rsidR="00814529" w:rsidRPr="00EA1ADB" w:rsidRDefault="00814529" w:rsidP="00814529">
      <w:pPr>
        <w:pStyle w:val="Obyajntext"/>
        <w:jc w:val="both"/>
        <w:rPr>
          <w:rFonts w:asciiTheme="minorHAnsi" w:hAnsiTheme="minorHAnsi" w:cs="Calibri"/>
          <w:color w:val="1F497D"/>
          <w:szCs w:val="22"/>
        </w:rPr>
      </w:pPr>
    </w:p>
    <w:p w:rsidR="00814529" w:rsidRPr="00EA1ADB" w:rsidRDefault="00814529" w:rsidP="00814529">
      <w:pPr>
        <w:pStyle w:val="Obyajntext"/>
        <w:jc w:val="both"/>
        <w:rPr>
          <w:rFonts w:asciiTheme="minorHAnsi" w:hAnsiTheme="minorHAnsi" w:cs="Calibri"/>
          <w:color w:val="1F497D"/>
          <w:szCs w:val="22"/>
        </w:rPr>
      </w:pPr>
      <w:r w:rsidRPr="00EA1ADB">
        <w:rPr>
          <w:rFonts w:asciiTheme="minorHAnsi" w:hAnsiTheme="minorHAnsi" w:cs="Calibri"/>
          <w:color w:val="1F497D"/>
          <w:szCs w:val="22"/>
        </w:rPr>
        <w:t>Zároveň, RO pre ROP nepovažuje uvedenú aktivitu za oprávnenú z dôvodu, že cieľom výzvy a stratégie ROP je 1. zamedzenie segregácie Marginalizovaných rómskych komunít, 2. časová udržateľnosť projektov/udržateľnosť miesta realizácie projektu a 3. dodržanie súladu zo Stavebným zákonom, teda podmienok, ktorých dodržiavanie nie je možné v prípade kontajnerových prístavieb dôsledne uplatňovať  a kontrolovať (pri realizácii kontajnerových prístavieb hrozia napr. nasledovné riziká: segregácia MRK do špeciálnych tried/priestorov, možnosť jednoduchého „presunutia“ prístavby, alebo nedodržanie všetkých podmienok Stavebného zákona).</w:t>
      </w:r>
    </w:p>
    <w:p w:rsidR="00EA1ADB" w:rsidRDefault="00EA1ADB" w:rsidP="006F1275">
      <w:pPr>
        <w:spacing w:after="0" w:line="240" w:lineRule="auto"/>
        <w:jc w:val="both"/>
      </w:pPr>
    </w:p>
    <w:p w:rsidR="004D18DB" w:rsidRPr="00EA1ADB" w:rsidRDefault="004D18DB" w:rsidP="006F1275">
      <w:pPr>
        <w:spacing w:after="0" w:line="240" w:lineRule="auto"/>
        <w:jc w:val="both"/>
      </w:pPr>
    </w:p>
    <w:p w:rsidR="00C905CB" w:rsidRPr="00EA1ADB" w:rsidRDefault="00312FEE" w:rsidP="006F1275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 xml:space="preserve">Výpočet </w:t>
      </w:r>
      <w:r w:rsidR="00C905CB" w:rsidRPr="00EA1ADB">
        <w:rPr>
          <w:b/>
          <w:color w:val="1F497D"/>
        </w:rPr>
        <w:t>úspor</w:t>
      </w:r>
      <w:r w:rsidRPr="00EA1ADB">
        <w:rPr>
          <w:b/>
          <w:color w:val="1F497D"/>
        </w:rPr>
        <w:t>y</w:t>
      </w:r>
      <w:r w:rsidR="00C905CB" w:rsidRPr="00EA1ADB">
        <w:rPr>
          <w:b/>
          <w:color w:val="1F497D"/>
        </w:rPr>
        <w:t xml:space="preserve"> energie</w:t>
      </w:r>
    </w:p>
    <w:p w:rsidR="00EA1ADB" w:rsidRPr="00EA1ADB" w:rsidRDefault="00EA1ADB" w:rsidP="006F1275">
      <w:pPr>
        <w:spacing w:after="0" w:line="240" w:lineRule="auto"/>
        <w:jc w:val="both"/>
        <w:rPr>
          <w:b/>
          <w:color w:val="1F497D"/>
        </w:rPr>
      </w:pPr>
    </w:p>
    <w:p w:rsidR="00A00E14" w:rsidRPr="00EA1ADB" w:rsidRDefault="006F1275" w:rsidP="006F1275">
      <w:pPr>
        <w:spacing w:after="0" w:line="240" w:lineRule="auto"/>
        <w:jc w:val="both"/>
        <w:rPr>
          <w:b/>
        </w:rPr>
      </w:pPr>
      <w:r>
        <w:t>Akú dokumentáciu je</w:t>
      </w:r>
      <w:r w:rsidR="00EC0E17" w:rsidRPr="00EA1ADB">
        <w:t xml:space="preserve"> potrebné predložiť v rámci</w:t>
      </w:r>
      <w:r w:rsidR="00472FB2" w:rsidRPr="00EA1ADB">
        <w:t xml:space="preserve"> prílohy č. 19 </w:t>
      </w:r>
      <w:r w:rsidR="00E6181C">
        <w:t xml:space="preserve">žiadosti </w:t>
      </w:r>
      <w:r w:rsidR="00EC0E17" w:rsidRPr="00EA1ADB">
        <w:t>o</w:t>
      </w:r>
      <w:r w:rsidR="00E6181C">
        <w:t xml:space="preserve"> </w:t>
      </w:r>
      <w:r w:rsidR="00EC0E17" w:rsidRPr="00EA1ADB">
        <w:t>NFP?</w:t>
      </w:r>
    </w:p>
    <w:p w:rsidR="00ED0BC5" w:rsidRDefault="00ED0BC5" w:rsidP="006F1275">
      <w:pPr>
        <w:pStyle w:val="Obyajntext"/>
        <w:jc w:val="both"/>
        <w:rPr>
          <w:rFonts w:asciiTheme="minorHAnsi" w:hAnsiTheme="minorHAnsi"/>
          <w:color w:val="1F497D"/>
          <w:szCs w:val="22"/>
        </w:rPr>
      </w:pPr>
    </w:p>
    <w:p w:rsidR="00472FB2" w:rsidRPr="00EA1ADB" w:rsidRDefault="00E6181C" w:rsidP="006F1275">
      <w:pPr>
        <w:pStyle w:val="Obyajntext"/>
        <w:jc w:val="both"/>
        <w:rPr>
          <w:rFonts w:asciiTheme="minorHAnsi" w:hAnsiTheme="minorHAnsi"/>
          <w:color w:val="1F497D"/>
          <w:szCs w:val="22"/>
        </w:rPr>
      </w:pPr>
      <w:r>
        <w:rPr>
          <w:rFonts w:asciiTheme="minorHAnsi" w:hAnsiTheme="minorHAnsi"/>
          <w:color w:val="1F497D"/>
          <w:szCs w:val="22"/>
        </w:rPr>
        <w:t>P</w:t>
      </w:r>
      <w:r w:rsidR="00A00E14" w:rsidRPr="00EA1ADB">
        <w:rPr>
          <w:rFonts w:asciiTheme="minorHAnsi" w:hAnsiTheme="minorHAnsi"/>
          <w:color w:val="1F497D"/>
          <w:szCs w:val="22"/>
        </w:rPr>
        <w:t>otrebné</w:t>
      </w:r>
      <w:r>
        <w:rPr>
          <w:rFonts w:asciiTheme="minorHAnsi" w:hAnsiTheme="minorHAnsi"/>
          <w:color w:val="1F497D"/>
          <w:szCs w:val="22"/>
        </w:rPr>
        <w:t xml:space="preserve"> je</w:t>
      </w:r>
      <w:r w:rsidR="00A00E14" w:rsidRPr="00EA1ADB">
        <w:rPr>
          <w:rFonts w:asciiTheme="minorHAnsi" w:hAnsiTheme="minorHAnsi"/>
          <w:color w:val="1F497D"/>
          <w:szCs w:val="22"/>
        </w:rPr>
        <w:t xml:space="preserve"> predložiť aktuálne vypracovaný výpočet energetických úspor v súvislosti s realizáciou plánovaných stavebných prác projektu resp. správu z energetického auditu, ktorá je vypracovaná ako informácia o možných en</w:t>
      </w:r>
      <w:r w:rsidR="00472FB2" w:rsidRPr="00EA1ADB">
        <w:rPr>
          <w:rFonts w:asciiTheme="minorHAnsi" w:hAnsiTheme="minorHAnsi"/>
          <w:color w:val="1F497D"/>
          <w:szCs w:val="22"/>
        </w:rPr>
        <w:t>ergetických úsporách projektu.</w:t>
      </w:r>
    </w:p>
    <w:p w:rsidR="00472FB2" w:rsidRPr="00EA1ADB" w:rsidRDefault="00472FB2" w:rsidP="006F1275">
      <w:pPr>
        <w:pStyle w:val="Obyajntext"/>
        <w:ind w:firstLine="708"/>
        <w:jc w:val="both"/>
        <w:rPr>
          <w:rFonts w:asciiTheme="minorHAnsi" w:hAnsiTheme="minorHAnsi"/>
          <w:color w:val="1F497D"/>
          <w:szCs w:val="22"/>
        </w:rPr>
      </w:pPr>
      <w:r w:rsidRPr="00EA1ADB">
        <w:rPr>
          <w:rFonts w:asciiTheme="minorHAnsi" w:hAnsiTheme="minorHAnsi"/>
          <w:color w:val="365F91" w:themeColor="accent1" w:themeShade="BF"/>
          <w:szCs w:val="22"/>
        </w:rPr>
        <w:t xml:space="preserve"> </w:t>
      </w:r>
    </w:p>
    <w:p w:rsidR="00C016A3" w:rsidRPr="00EA1ADB" w:rsidRDefault="00D73717" w:rsidP="006F1275">
      <w:pPr>
        <w:pStyle w:val="Obyajntext"/>
        <w:jc w:val="both"/>
        <w:rPr>
          <w:rFonts w:asciiTheme="minorHAnsi" w:hAnsiTheme="minorHAnsi" w:cs="Calibri"/>
          <w:color w:val="365F91" w:themeColor="accent1" w:themeShade="BF"/>
          <w:szCs w:val="22"/>
        </w:rPr>
      </w:pPr>
      <w:r>
        <w:rPr>
          <w:rFonts w:asciiTheme="minorHAnsi" w:hAnsiTheme="minorHAnsi"/>
          <w:color w:val="1F497D"/>
          <w:szCs w:val="22"/>
        </w:rPr>
        <w:t>N</w:t>
      </w:r>
      <w:r w:rsidR="00A00E14" w:rsidRPr="00EA1ADB">
        <w:rPr>
          <w:rFonts w:asciiTheme="minorHAnsi" w:hAnsiTheme="minorHAnsi"/>
          <w:color w:val="1F497D"/>
          <w:szCs w:val="22"/>
        </w:rPr>
        <w:t>a rozdiel od správy z energetického auditu - sa "Energetický certifikát" predkladá v zmysle zákona povinne iba pri dokončení novým s</w:t>
      </w:r>
      <w:r w:rsidR="00472FB2" w:rsidRPr="00EA1ADB">
        <w:rPr>
          <w:rFonts w:asciiTheme="minorHAnsi" w:hAnsiTheme="minorHAnsi"/>
          <w:color w:val="1F497D"/>
          <w:szCs w:val="22"/>
        </w:rPr>
        <w:t>tavieb resp. pri predaji a pod. (</w:t>
      </w:r>
      <w:r w:rsidR="00C016A3" w:rsidRPr="00EA1ADB">
        <w:rPr>
          <w:rFonts w:asciiTheme="minorHAnsi" w:hAnsiTheme="minorHAnsi" w:cs="Calibri"/>
          <w:color w:val="365F91" w:themeColor="accent1" w:themeShade="BF"/>
          <w:szCs w:val="22"/>
        </w:rPr>
        <w:t xml:space="preserve">Pri vypracovaní energetických certifikátov stavieb, ktoré vypracúva odborne spôsobilá osoba, sa vychádza so Zákona č. 555/2005 Z. z. o energetickej hospodárnosti budov v znení neskorších predpisov (posledná novelizácia zákonom č. 300/2012 Z. z.) resp. Vyhlášky MDVRR SR č. 364/2012 Z. z., ktorou sa vykonáva zákon č. 555/2005 Z. </w:t>
      </w:r>
      <w:r w:rsidR="00C016A3" w:rsidRPr="00EA1ADB">
        <w:rPr>
          <w:rFonts w:asciiTheme="minorHAnsi" w:hAnsiTheme="minorHAnsi" w:cs="Calibri"/>
          <w:color w:val="365F91" w:themeColor="accent1" w:themeShade="BF"/>
          <w:szCs w:val="22"/>
        </w:rPr>
        <w:lastRenderedPageBreak/>
        <w:t>z. o energetickej hospodárnosti budov a o zmene a doplnení niektorých zákonov v znení neskorších predpisov</w:t>
      </w:r>
      <w:r w:rsidR="00472FB2" w:rsidRPr="00EA1ADB">
        <w:rPr>
          <w:rFonts w:asciiTheme="minorHAnsi" w:hAnsiTheme="minorHAnsi" w:cs="Calibri"/>
          <w:color w:val="365F91" w:themeColor="accent1" w:themeShade="BF"/>
          <w:szCs w:val="22"/>
        </w:rPr>
        <w:t>.)</w:t>
      </w:r>
    </w:p>
    <w:p w:rsidR="005E0392" w:rsidRPr="00EA1ADB" w:rsidRDefault="005E0392" w:rsidP="006F1275">
      <w:pPr>
        <w:spacing w:after="0" w:line="240" w:lineRule="auto"/>
        <w:jc w:val="both"/>
        <w:rPr>
          <w:rFonts w:eastAsia="Times New Roman"/>
        </w:rPr>
      </w:pPr>
    </w:p>
    <w:p w:rsidR="00334559" w:rsidRPr="00EA1ADB" w:rsidRDefault="00312FEE" w:rsidP="006F1275">
      <w:pPr>
        <w:spacing w:after="0" w:line="240" w:lineRule="auto"/>
        <w:jc w:val="both"/>
        <w:rPr>
          <w:rFonts w:eastAsia="Times New Roman"/>
        </w:rPr>
      </w:pPr>
      <w:r w:rsidRPr="00EA1ADB">
        <w:rPr>
          <w:rFonts w:eastAsia="Times New Roman"/>
        </w:rPr>
        <w:t xml:space="preserve">V rámci projektu má byť realizovaná iba prístavba. </w:t>
      </w:r>
      <w:r w:rsidR="00334559" w:rsidRPr="00EA1ADB">
        <w:rPr>
          <w:rFonts w:eastAsia="Times New Roman"/>
        </w:rPr>
        <w:t xml:space="preserve">Keďže pôjde o </w:t>
      </w:r>
      <w:r w:rsidR="00EC0E17" w:rsidRPr="00EA1ADB">
        <w:rPr>
          <w:rFonts w:eastAsia="Times New Roman"/>
        </w:rPr>
        <w:t>pristavený</w:t>
      </w:r>
      <w:r w:rsidR="00334559" w:rsidRPr="00EA1ADB">
        <w:rPr>
          <w:rFonts w:eastAsia="Times New Roman"/>
        </w:rPr>
        <w:t xml:space="preserve"> objekt s učebňou a soc</w:t>
      </w:r>
      <w:r w:rsidR="00D552B6" w:rsidRPr="00EA1ADB">
        <w:rPr>
          <w:rFonts w:eastAsia="Times New Roman"/>
        </w:rPr>
        <w:t>iálnymi</w:t>
      </w:r>
      <w:r w:rsidR="00334559" w:rsidRPr="00EA1ADB">
        <w:rPr>
          <w:rFonts w:eastAsia="Times New Roman"/>
        </w:rPr>
        <w:t xml:space="preserve"> zariadeniami, ktorý teda doteraz nespotreboval nijaké energie, akú hodnotu má mať ukazovateľ "Zníženie energetickej náročnosti budovy"? </w:t>
      </w:r>
    </w:p>
    <w:p w:rsidR="00ED0BC5" w:rsidRDefault="00ED0BC5" w:rsidP="006F1275">
      <w:pPr>
        <w:spacing w:after="0" w:line="240" w:lineRule="auto"/>
        <w:jc w:val="both"/>
        <w:rPr>
          <w:rFonts w:cs="Calibri"/>
          <w:color w:val="1F497D"/>
        </w:rPr>
      </w:pPr>
    </w:p>
    <w:p w:rsidR="00334559" w:rsidRPr="00EA1ADB" w:rsidRDefault="00334559" w:rsidP="006F1275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>V rámci ukazovateľa „zníženie energetickej náročnosti“ uveďte hodnotu „0“.</w:t>
      </w:r>
    </w:p>
    <w:p w:rsidR="00C016A3" w:rsidRPr="00EA1ADB" w:rsidRDefault="00C016A3" w:rsidP="006F1275">
      <w:pPr>
        <w:spacing w:after="0" w:line="240" w:lineRule="auto"/>
        <w:jc w:val="both"/>
        <w:rPr>
          <w:b/>
          <w:color w:val="1F497D"/>
        </w:rPr>
      </w:pPr>
    </w:p>
    <w:p w:rsidR="00EA1ADB" w:rsidRPr="00EA1ADB" w:rsidRDefault="00EA1ADB" w:rsidP="006F1275">
      <w:pPr>
        <w:spacing w:after="0" w:line="240" w:lineRule="auto"/>
        <w:jc w:val="both"/>
        <w:rPr>
          <w:b/>
          <w:color w:val="1F497D"/>
        </w:rPr>
      </w:pPr>
    </w:p>
    <w:p w:rsidR="00C905CB" w:rsidRPr="00EA1ADB" w:rsidRDefault="00312FEE" w:rsidP="006F1275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 xml:space="preserve">Usmernenie k odovzdaniu </w:t>
      </w:r>
      <w:r w:rsidR="00C905CB" w:rsidRPr="00EA1ADB">
        <w:rPr>
          <w:b/>
          <w:color w:val="1F497D"/>
        </w:rPr>
        <w:t>účtovn</w:t>
      </w:r>
      <w:r w:rsidRPr="00EA1ADB">
        <w:rPr>
          <w:b/>
          <w:color w:val="1F497D"/>
        </w:rPr>
        <w:t>ej dokumentácie</w:t>
      </w:r>
    </w:p>
    <w:p w:rsidR="00EA1ADB" w:rsidRPr="00EA1ADB" w:rsidRDefault="00EA1ADB" w:rsidP="006F1275">
      <w:pPr>
        <w:spacing w:after="0" w:line="240" w:lineRule="auto"/>
        <w:jc w:val="both"/>
        <w:rPr>
          <w:rFonts w:cs="Arial"/>
        </w:rPr>
      </w:pPr>
    </w:p>
    <w:p w:rsidR="00D552B6" w:rsidRPr="00EA1ADB" w:rsidRDefault="00D552B6" w:rsidP="006F1275">
      <w:pPr>
        <w:spacing w:after="0" w:line="240" w:lineRule="auto"/>
        <w:jc w:val="both"/>
        <w:rPr>
          <w:rFonts w:cs="Arial"/>
        </w:rPr>
      </w:pPr>
      <w:r w:rsidRPr="00EA1ADB">
        <w:rPr>
          <w:rFonts w:cs="Arial"/>
        </w:rPr>
        <w:t>V zmysle usmernenia k </w:t>
      </w:r>
      <w:r w:rsidR="005B1B8B">
        <w:rPr>
          <w:rFonts w:cs="Arial"/>
        </w:rPr>
        <w:t>ž</w:t>
      </w:r>
      <w:r w:rsidRPr="00EA1ADB">
        <w:rPr>
          <w:rFonts w:cs="Arial"/>
        </w:rPr>
        <w:t>iadosti o NFP z ROP som žiadala písomne príslušný Daňový úrad o potvrdenie kompletnej účtovne</w:t>
      </w:r>
      <w:r w:rsidR="006F1275">
        <w:rPr>
          <w:rFonts w:cs="Arial"/>
        </w:rPr>
        <w:t>j</w:t>
      </w:r>
      <w:r w:rsidRPr="00EA1ADB">
        <w:rPr>
          <w:rFonts w:cs="Arial"/>
        </w:rPr>
        <w:t xml:space="preserve"> závierky</w:t>
      </w:r>
      <w:r w:rsidR="00D73717">
        <w:rPr>
          <w:rFonts w:cs="Arial"/>
        </w:rPr>
        <w:t xml:space="preserve"> </w:t>
      </w:r>
      <w:r w:rsidRPr="00EA1ADB">
        <w:rPr>
          <w:rFonts w:cs="Arial"/>
        </w:rPr>
        <w:t>pre</w:t>
      </w:r>
      <w:r w:rsidR="00D73717">
        <w:rPr>
          <w:rFonts w:cs="Arial"/>
        </w:rPr>
        <w:t xml:space="preserve"> </w:t>
      </w:r>
      <w:r w:rsidRPr="00EA1ADB">
        <w:rPr>
          <w:rFonts w:cs="Arial"/>
        </w:rPr>
        <w:t>subjekt</w:t>
      </w:r>
      <w:r w:rsidR="00D73717">
        <w:rPr>
          <w:rFonts w:cs="Arial"/>
        </w:rPr>
        <w:t xml:space="preserve"> </w:t>
      </w:r>
      <w:r w:rsidRPr="00EA1ADB">
        <w:rPr>
          <w:rFonts w:cs="Arial"/>
        </w:rPr>
        <w:t>v pôsobnosti žiadateľa (Príloha</w:t>
      </w:r>
      <w:r w:rsidR="00D73717">
        <w:rPr>
          <w:rFonts w:cs="Arial"/>
        </w:rPr>
        <w:t xml:space="preserve"> </w:t>
      </w:r>
      <w:r w:rsidRPr="00EA1ADB">
        <w:rPr>
          <w:rFonts w:cs="Arial"/>
        </w:rPr>
        <w:t>č</w:t>
      </w:r>
      <w:r w:rsidR="00D73717">
        <w:rPr>
          <w:rFonts w:cs="Arial"/>
        </w:rPr>
        <w:t xml:space="preserve">. </w:t>
      </w:r>
      <w:r w:rsidRPr="00EA1ADB">
        <w:rPr>
          <w:rFonts w:cs="Arial"/>
        </w:rPr>
        <w:t xml:space="preserve">8 </w:t>
      </w:r>
      <w:r w:rsidR="00D73717">
        <w:rPr>
          <w:rFonts w:cs="Arial"/>
        </w:rPr>
        <w:t>ž</w:t>
      </w:r>
      <w:r w:rsidRPr="00EA1ADB">
        <w:rPr>
          <w:rFonts w:cs="Arial"/>
        </w:rPr>
        <w:t>iadosti o NFP). Uvedené potvrdenie mi odmietli vydať. Ako mám ďalej postupovať?</w:t>
      </w:r>
    </w:p>
    <w:p w:rsidR="00ED0BC5" w:rsidRDefault="00ED0BC5" w:rsidP="006F1275">
      <w:pPr>
        <w:spacing w:after="0" w:line="240" w:lineRule="auto"/>
        <w:jc w:val="both"/>
        <w:rPr>
          <w:rFonts w:cs="Calibri"/>
          <w:color w:val="1F497D"/>
        </w:rPr>
      </w:pPr>
    </w:p>
    <w:p w:rsidR="00C016A3" w:rsidRPr="00EA1ADB" w:rsidRDefault="00C016A3" w:rsidP="006F1275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 xml:space="preserve">V súvislosti s prílohou č. 8 žiadosti o NFP (účtovná dokumentácia) RO pre ROP dňa 1. 8. 2014 uverejnil na stránke </w:t>
      </w:r>
      <w:hyperlink r:id="rId9" w:history="1">
        <w:r w:rsidRPr="00EA1ADB">
          <w:rPr>
            <w:rStyle w:val="Hypertextovprepojenie"/>
            <w:rFonts w:cs="Calibri"/>
          </w:rPr>
          <w:t>www.ropka.sk</w:t>
        </w:r>
      </w:hyperlink>
      <w:r w:rsidRPr="00EA1ADB">
        <w:rPr>
          <w:rFonts w:cs="Calibri"/>
          <w:color w:val="1F497D"/>
        </w:rPr>
        <w:t xml:space="preserve"> v rámci sekcie „Výzvy“ Zmenu formálnych náležitostí výzvy, ktorá upravuje a aktualizuje predkladanie tejto povinnej prílohy.</w:t>
      </w:r>
      <w:r w:rsidR="00304EA4" w:rsidRPr="00EA1ADB">
        <w:rPr>
          <w:rFonts w:cs="Calibri"/>
          <w:color w:val="1F497D"/>
        </w:rPr>
        <w:t xml:space="preserve"> </w:t>
      </w:r>
      <w:r w:rsidRPr="00EA1ADB">
        <w:rPr>
          <w:rFonts w:cs="Calibri"/>
          <w:color w:val="1F497D"/>
        </w:rPr>
        <w:t>V zmysle zmeny formálnych náležitostí výzvy v prípade, že má</w:t>
      </w:r>
      <w:r w:rsidR="009A22C1" w:rsidRPr="00EA1ADB">
        <w:rPr>
          <w:rFonts w:cs="Calibri"/>
          <w:color w:val="1F497D"/>
        </w:rPr>
        <w:t xml:space="preserve"> žiadateľ</w:t>
      </w:r>
      <w:r w:rsidRPr="00EA1ADB">
        <w:rPr>
          <w:rFonts w:cs="Calibri"/>
          <w:color w:val="1F497D"/>
        </w:rPr>
        <w:t xml:space="preserve"> v zmysle zákona č. 431/2002 Z.z. o účtovníctve zverejnenú účtovnú závierku za rok 2013 v </w:t>
      </w:r>
      <w:r w:rsidRPr="00EA1ADB">
        <w:rPr>
          <w:rFonts w:cs="Calibri"/>
          <w:b/>
          <w:bCs/>
          <w:color w:val="1F497D"/>
        </w:rPr>
        <w:t>Registri účtovných závierok</w:t>
      </w:r>
      <w:r w:rsidRPr="00EA1ADB">
        <w:rPr>
          <w:rFonts w:cs="Calibri"/>
          <w:color w:val="1F497D"/>
        </w:rPr>
        <w:t xml:space="preserve">, ktorého správcom je MF SR, nie </w:t>
      </w:r>
      <w:r w:rsidR="009A22C1" w:rsidRPr="00EA1ADB">
        <w:rPr>
          <w:rFonts w:cs="Calibri"/>
          <w:color w:val="1F497D"/>
        </w:rPr>
        <w:t>je</w:t>
      </w:r>
      <w:r w:rsidRPr="00EA1ADB">
        <w:rPr>
          <w:rFonts w:cs="Calibri"/>
          <w:color w:val="1F497D"/>
        </w:rPr>
        <w:t xml:space="preserve"> povinný predkladať túto prílohu osobitne v listinnej podobe (resp. potvrdenú daňovým úradom). Úplné znenie zmeny textu výzvy a ostatných alternatív predkladania účtovnej dokumentácie pozri na stránke </w:t>
      </w:r>
      <w:hyperlink r:id="rId10" w:history="1">
        <w:r w:rsidRPr="00EA1ADB">
          <w:rPr>
            <w:rStyle w:val="Hypertextovprepojenie"/>
            <w:rFonts w:cs="Calibri"/>
          </w:rPr>
          <w:t>www.ropka.sk</w:t>
        </w:r>
      </w:hyperlink>
      <w:r w:rsidRPr="00EA1ADB">
        <w:rPr>
          <w:rFonts w:cs="Calibri"/>
          <w:color w:val="1F497D"/>
        </w:rPr>
        <w:t>.</w:t>
      </w:r>
    </w:p>
    <w:p w:rsidR="00AE39E4" w:rsidRDefault="00AE39E4" w:rsidP="006F1275">
      <w:pPr>
        <w:spacing w:after="0" w:line="240" w:lineRule="auto"/>
        <w:jc w:val="both"/>
        <w:rPr>
          <w:rFonts w:cs="Arial"/>
        </w:rPr>
      </w:pPr>
    </w:p>
    <w:p w:rsidR="00EA1ADB" w:rsidRPr="00EA1ADB" w:rsidRDefault="00EA1ADB" w:rsidP="006F1275">
      <w:pPr>
        <w:spacing w:after="0" w:line="240" w:lineRule="auto"/>
        <w:jc w:val="both"/>
        <w:rPr>
          <w:rFonts w:cs="Arial"/>
        </w:rPr>
      </w:pPr>
    </w:p>
    <w:p w:rsidR="00C905CB" w:rsidRPr="00EA1ADB" w:rsidRDefault="00304EA4" w:rsidP="006F1275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>Predkladanie f</w:t>
      </w:r>
      <w:r w:rsidR="00C905CB" w:rsidRPr="00EA1ADB">
        <w:rPr>
          <w:b/>
          <w:color w:val="1F497D"/>
        </w:rPr>
        <w:t>inančn</w:t>
      </w:r>
      <w:r w:rsidRPr="00EA1ADB">
        <w:rPr>
          <w:b/>
          <w:color w:val="1F497D"/>
        </w:rPr>
        <w:t>ej</w:t>
      </w:r>
      <w:r w:rsidR="00C905CB" w:rsidRPr="00EA1ADB">
        <w:rPr>
          <w:b/>
          <w:color w:val="1F497D"/>
        </w:rPr>
        <w:t xml:space="preserve"> analýz</w:t>
      </w:r>
      <w:r w:rsidRPr="00EA1ADB">
        <w:rPr>
          <w:b/>
          <w:color w:val="1F497D"/>
        </w:rPr>
        <w:t>y</w:t>
      </w:r>
    </w:p>
    <w:p w:rsidR="00C905CB" w:rsidRPr="00EA1ADB" w:rsidRDefault="00C905CB" w:rsidP="006F1275">
      <w:pPr>
        <w:spacing w:after="0" w:line="240" w:lineRule="auto"/>
        <w:jc w:val="both"/>
        <w:rPr>
          <w:b/>
          <w:color w:val="1F497D"/>
        </w:rPr>
      </w:pPr>
    </w:p>
    <w:p w:rsidR="00503C3E" w:rsidRPr="00EA1ADB" w:rsidRDefault="009A22C1" w:rsidP="006F1275">
      <w:pPr>
        <w:spacing w:after="0" w:line="240" w:lineRule="auto"/>
        <w:jc w:val="both"/>
        <w:rPr>
          <w:rFonts w:cs="Arial"/>
          <w:color w:val="000000"/>
          <w:lang w:eastAsia="sk-SK"/>
        </w:rPr>
      </w:pPr>
      <w:r w:rsidRPr="00EA1ADB">
        <w:rPr>
          <w:rFonts w:cs="Arial"/>
          <w:color w:val="000000"/>
          <w:lang w:eastAsia="sk-SK"/>
        </w:rPr>
        <w:t xml:space="preserve">Ak </w:t>
      </w:r>
      <w:r w:rsidR="00503C3E" w:rsidRPr="00EA1ADB">
        <w:rPr>
          <w:rFonts w:cs="Arial"/>
          <w:color w:val="000000"/>
          <w:lang w:eastAsia="sk-SK"/>
        </w:rPr>
        <w:t>celkové oprávnené výdavky nepresahujú sumu 450</w:t>
      </w:r>
      <w:r w:rsidR="0044014D">
        <w:rPr>
          <w:rFonts w:cs="Arial"/>
          <w:color w:val="000000"/>
          <w:lang w:eastAsia="sk-SK"/>
        </w:rPr>
        <w:t> </w:t>
      </w:r>
      <w:r w:rsidR="00503C3E" w:rsidRPr="00EA1ADB">
        <w:rPr>
          <w:rFonts w:cs="Arial"/>
          <w:color w:val="000000"/>
          <w:lang w:eastAsia="sk-SK"/>
        </w:rPr>
        <w:t>000</w:t>
      </w:r>
      <w:r w:rsidR="0044014D">
        <w:rPr>
          <w:rFonts w:cs="Arial"/>
          <w:color w:val="000000"/>
          <w:lang w:eastAsia="sk-SK"/>
        </w:rPr>
        <w:t xml:space="preserve"> Eur, musí sa</w:t>
      </w:r>
      <w:r w:rsidR="00503C3E" w:rsidRPr="00EA1ADB">
        <w:rPr>
          <w:rFonts w:cs="Arial"/>
          <w:color w:val="000000"/>
          <w:lang w:eastAsia="sk-SK"/>
        </w:rPr>
        <w:t xml:space="preserve"> predkladať finančná analýza projektu?</w:t>
      </w:r>
    </w:p>
    <w:p w:rsidR="00ED0BC5" w:rsidRDefault="00ED0BC5" w:rsidP="006F1275">
      <w:pPr>
        <w:spacing w:after="0" w:line="240" w:lineRule="auto"/>
        <w:jc w:val="both"/>
        <w:rPr>
          <w:color w:val="1F497D"/>
        </w:rPr>
      </w:pPr>
    </w:p>
    <w:p w:rsidR="00503C3E" w:rsidRPr="00EA1ADB" w:rsidRDefault="009A22C1" w:rsidP="006F1275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>A</w:t>
      </w:r>
      <w:r w:rsidR="00503C3E" w:rsidRPr="00EA1ADB">
        <w:rPr>
          <w:color w:val="1F497D"/>
        </w:rPr>
        <w:t>ko je uvedené na str. 14 výzvy predkladanie finančnej analýzy je relevantné iba pre projekty, u ktorých presahujú celkové náklady projektu 1 mil. Eur v nadväznosti na čl. 55 o projektoch generujúcich príjmy Nariadenia Rady (ES) 1083/2006).</w:t>
      </w:r>
    </w:p>
    <w:p w:rsidR="00C905CB" w:rsidRPr="00EA1ADB" w:rsidRDefault="00C905CB" w:rsidP="006F1275">
      <w:pPr>
        <w:spacing w:after="0" w:line="240" w:lineRule="auto"/>
        <w:jc w:val="both"/>
        <w:rPr>
          <w:b/>
          <w:color w:val="1F497D"/>
        </w:rPr>
      </w:pPr>
    </w:p>
    <w:p w:rsidR="00EA1ADB" w:rsidRDefault="00EA1ADB" w:rsidP="006F1275">
      <w:pPr>
        <w:spacing w:after="0" w:line="240" w:lineRule="auto"/>
        <w:jc w:val="both"/>
        <w:rPr>
          <w:b/>
          <w:color w:val="1F497D"/>
        </w:rPr>
      </w:pPr>
    </w:p>
    <w:p w:rsidR="00503C3E" w:rsidRPr="00EA1ADB" w:rsidRDefault="004C300D" w:rsidP="006F1275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>Vypĺňanie tabuliek s</w:t>
      </w:r>
      <w:r w:rsidR="00503C3E" w:rsidRPr="00EA1ADB">
        <w:rPr>
          <w:b/>
          <w:color w:val="1F497D"/>
        </w:rPr>
        <w:t>mern</w:t>
      </w:r>
      <w:r w:rsidRPr="00EA1ADB">
        <w:rPr>
          <w:b/>
          <w:color w:val="1F497D"/>
        </w:rPr>
        <w:t>ých ukazovateľov v</w:t>
      </w:r>
      <w:r w:rsidR="00D44386">
        <w:rPr>
          <w:b/>
          <w:color w:val="1F497D"/>
        </w:rPr>
        <w:t xml:space="preserve"> žiadosti o </w:t>
      </w:r>
      <w:r w:rsidRPr="00EA1ADB">
        <w:rPr>
          <w:b/>
          <w:color w:val="1F497D"/>
        </w:rPr>
        <w:t>NFP</w:t>
      </w:r>
    </w:p>
    <w:p w:rsidR="00EA1ADB" w:rsidRDefault="00EA1ADB" w:rsidP="006F1275">
      <w:pPr>
        <w:spacing w:after="0" w:line="240" w:lineRule="auto"/>
        <w:jc w:val="both"/>
        <w:rPr>
          <w:rFonts w:eastAsia="Times New Roman"/>
        </w:rPr>
      </w:pPr>
    </w:p>
    <w:p w:rsidR="00CA042C" w:rsidRPr="00EA1ADB" w:rsidRDefault="00CA042C" w:rsidP="006F1275">
      <w:pPr>
        <w:spacing w:after="0" w:line="240" w:lineRule="auto"/>
        <w:jc w:val="both"/>
        <w:rPr>
          <w:rFonts w:eastAsia="Times New Roman"/>
        </w:rPr>
      </w:pPr>
      <w:r w:rsidRPr="00EA1ADB">
        <w:rPr>
          <w:rFonts w:eastAsia="Times New Roman"/>
        </w:rPr>
        <w:t>Ak predmetom projektu nie je debarierizácia, zatepľovanie ani tvorba prac</w:t>
      </w:r>
      <w:r w:rsidR="00D44386">
        <w:rPr>
          <w:rFonts w:eastAsia="Times New Roman"/>
        </w:rPr>
        <w:t>ovných</w:t>
      </w:r>
      <w:r w:rsidRPr="00EA1ADB">
        <w:rPr>
          <w:rFonts w:eastAsia="Times New Roman"/>
        </w:rPr>
        <w:t xml:space="preserve"> miest, treba </w:t>
      </w:r>
      <w:r w:rsidR="005E0392" w:rsidRPr="00EA1ADB">
        <w:rPr>
          <w:rFonts w:eastAsia="Times New Roman"/>
        </w:rPr>
        <w:t xml:space="preserve">ich uvádzať </w:t>
      </w:r>
      <w:r w:rsidRPr="00EA1ADB">
        <w:rPr>
          <w:rFonts w:eastAsia="Times New Roman"/>
        </w:rPr>
        <w:t>do zoznamu ukazovateľov?</w:t>
      </w:r>
    </w:p>
    <w:p w:rsidR="005E0392" w:rsidRPr="00EA1ADB" w:rsidRDefault="005E0392" w:rsidP="006F1275">
      <w:pPr>
        <w:spacing w:after="0" w:line="240" w:lineRule="auto"/>
        <w:jc w:val="both"/>
        <w:rPr>
          <w:rFonts w:cs="Calibri"/>
          <w:color w:val="1F497D"/>
        </w:rPr>
      </w:pPr>
    </w:p>
    <w:p w:rsidR="004C300D" w:rsidRPr="00EA1ADB" w:rsidRDefault="004C300D" w:rsidP="006F1275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>Pri vypĺňaní tabuľky č. 12 Žiadosti o NFP žiadateľ vyberá zo všetkých preddefinovaných (t.j. uvedených) ukazovateľov ukazovatele relevantné pre konkrétny projekt. V prípade, že niektorý z ponúkaných preddefinovaných ukazovateľov nemá vzťah k uvedenému konkrétnemu projektu, vyplní žiadateľ východiskovú a plánovanú hodnotu „0“.</w:t>
      </w:r>
    </w:p>
    <w:p w:rsidR="00617FB8" w:rsidRDefault="00617FB8" w:rsidP="006F1275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AE4D53" w:rsidRPr="00EA1ADB" w:rsidRDefault="00AE4D53" w:rsidP="006F1275">
      <w:pPr>
        <w:spacing w:after="0" w:line="240" w:lineRule="auto"/>
        <w:jc w:val="both"/>
        <w:rPr>
          <w:rFonts w:cs="Calibri"/>
          <w:color w:val="000000" w:themeColor="text1"/>
        </w:rPr>
      </w:pPr>
      <w:r w:rsidRPr="00EA1ADB">
        <w:rPr>
          <w:rFonts w:cs="Calibri"/>
          <w:color w:val="000000" w:themeColor="text1"/>
        </w:rPr>
        <w:t>Aký rok je potrebné uviesť v stĺpci „Rok“ pri ukazovateľoch výsledku?</w:t>
      </w:r>
    </w:p>
    <w:p w:rsidR="00ED0BC5" w:rsidRDefault="00ED0BC5" w:rsidP="006F1275">
      <w:pPr>
        <w:spacing w:after="0" w:line="240" w:lineRule="auto"/>
        <w:jc w:val="both"/>
        <w:rPr>
          <w:rFonts w:cs="Calibri"/>
          <w:color w:val="1F497D"/>
        </w:rPr>
      </w:pPr>
    </w:p>
    <w:p w:rsidR="00B200D7" w:rsidRPr="00EA1ADB" w:rsidRDefault="00B200D7" w:rsidP="006F1275">
      <w:pPr>
        <w:spacing w:after="0" w:line="240" w:lineRule="auto"/>
        <w:jc w:val="both"/>
        <w:rPr>
          <w:rFonts w:cs="Calibri"/>
          <w:color w:val="1F497D"/>
        </w:rPr>
      </w:pPr>
      <w:r w:rsidRPr="00EA1ADB">
        <w:rPr>
          <w:rFonts w:cs="Calibri"/>
          <w:color w:val="1F497D"/>
        </w:rPr>
        <w:t>V poslednom stĺpci „Rok“ plánovanej hodnoty pri všetkých ukazovateľoch výsledku sa uvádza rok ukončenia projektu a pri všetkých ukazovateľoch dopadu sa uvádza piaty rok nasledujúci po roku ukončenia projektu.</w:t>
      </w:r>
    </w:p>
    <w:p w:rsidR="00AE4D53" w:rsidRPr="00EA1ADB" w:rsidRDefault="00AE4D53" w:rsidP="006F1275">
      <w:pPr>
        <w:spacing w:after="0" w:line="240" w:lineRule="auto"/>
        <w:jc w:val="both"/>
        <w:rPr>
          <w:highlight w:val="red"/>
        </w:rPr>
      </w:pPr>
    </w:p>
    <w:p w:rsidR="00617FB8" w:rsidRDefault="00617FB8" w:rsidP="006F1275">
      <w:pPr>
        <w:spacing w:after="0" w:line="240" w:lineRule="auto"/>
        <w:jc w:val="both"/>
        <w:rPr>
          <w:highlight w:val="red"/>
        </w:rPr>
      </w:pPr>
    </w:p>
    <w:p w:rsidR="00A11149" w:rsidRPr="00EA1ADB" w:rsidRDefault="00A11149" w:rsidP="00A11149">
      <w:pPr>
        <w:spacing w:after="0" w:line="240" w:lineRule="auto"/>
        <w:jc w:val="both"/>
        <w:rPr>
          <w:b/>
          <w:color w:val="1F497D"/>
        </w:rPr>
      </w:pPr>
      <w:r w:rsidRPr="00EA1ADB">
        <w:rPr>
          <w:b/>
          <w:color w:val="1F497D"/>
        </w:rPr>
        <w:t>Platnosť stavebného povolenia</w:t>
      </w:r>
    </w:p>
    <w:p w:rsidR="00A11149" w:rsidRDefault="00A11149" w:rsidP="00A11149">
      <w:pPr>
        <w:spacing w:after="0" w:line="240" w:lineRule="auto"/>
        <w:jc w:val="both"/>
      </w:pPr>
    </w:p>
    <w:p w:rsidR="00A11149" w:rsidRPr="00EA1ADB" w:rsidRDefault="00A11149" w:rsidP="00A11149">
      <w:pPr>
        <w:spacing w:after="0" w:line="240" w:lineRule="auto"/>
        <w:jc w:val="both"/>
        <w:rPr>
          <w:b/>
        </w:rPr>
      </w:pPr>
      <w:r w:rsidRPr="00EA1ADB">
        <w:t xml:space="preserve">Prílohou č. 6 </w:t>
      </w:r>
      <w:r>
        <w:t xml:space="preserve">žiadosti o NFP </w:t>
      </w:r>
      <w:r w:rsidRPr="00EA1ADB">
        <w:t xml:space="preserve">má byť právoplatné a vykonateľné rozhodnutie, resp. oznámenie príslušnému stavebnému úradu. K dispozícii máme stavebné povolenie, no je zo </w:t>
      </w:r>
      <w:r w:rsidRPr="00A11149">
        <w:t>staršieho roku. Aké najstaršie stavebné povolenie môžeme doložiť?</w:t>
      </w:r>
      <w:r w:rsidRPr="00EA1ADB">
        <w:t xml:space="preserve"> </w:t>
      </w:r>
    </w:p>
    <w:p w:rsidR="00A11149" w:rsidRDefault="00A11149" w:rsidP="00A11149">
      <w:pPr>
        <w:spacing w:after="0" w:line="240" w:lineRule="auto"/>
        <w:jc w:val="both"/>
        <w:rPr>
          <w:color w:val="1F497D"/>
        </w:rPr>
      </w:pPr>
    </w:p>
    <w:p w:rsidR="00A11149" w:rsidRPr="00EA1ADB" w:rsidRDefault="00A11149" w:rsidP="00A11149">
      <w:pPr>
        <w:spacing w:after="0" w:line="240" w:lineRule="auto"/>
        <w:jc w:val="both"/>
        <w:rPr>
          <w:color w:val="1F497D"/>
        </w:rPr>
      </w:pPr>
      <w:r w:rsidRPr="00EA1ADB">
        <w:rPr>
          <w:color w:val="1F497D"/>
        </w:rPr>
        <w:t>Ako je uvedené v žiadosti o NFP, vydané stavebné povolenie musí byť platné v zmysle zákona č. 50/1976 Zb. o územnom plánovaní a stavebnom poriadku. Podľa ust. § 67 ods. 2 stavebného zákona stavebné povolenie platí dva roky. Na žiadosť stavebníka môže stavebný úrad predĺžiť platnosť stavebného povolenia, avšak o žiadosti na predĺženie musí byť rozhodnuté pred uplynutím dvojročnej zákonnej lehoty.</w:t>
      </w:r>
    </w:p>
    <w:p w:rsidR="00ED0BC5" w:rsidRDefault="00ED0BC5" w:rsidP="006F1275">
      <w:pPr>
        <w:spacing w:after="0" w:line="240" w:lineRule="auto"/>
        <w:jc w:val="both"/>
        <w:rPr>
          <w:highlight w:val="red"/>
        </w:rPr>
      </w:pPr>
    </w:p>
    <w:p w:rsidR="00ED0BC5" w:rsidRDefault="00ED0BC5" w:rsidP="006F1275">
      <w:pPr>
        <w:spacing w:after="0" w:line="240" w:lineRule="auto"/>
        <w:jc w:val="both"/>
        <w:rPr>
          <w:highlight w:val="red"/>
        </w:rPr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p w:rsidR="00071707" w:rsidRDefault="00071707" w:rsidP="006F1275">
      <w:pPr>
        <w:spacing w:after="0" w:line="240" w:lineRule="auto"/>
        <w:jc w:val="both"/>
      </w:pPr>
    </w:p>
    <w:sectPr w:rsidR="0007170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0F" w:rsidRDefault="00D4680F" w:rsidP="0069774B">
      <w:pPr>
        <w:spacing w:after="0" w:line="240" w:lineRule="auto"/>
      </w:pPr>
      <w:r>
        <w:separator/>
      </w:r>
    </w:p>
  </w:endnote>
  <w:endnote w:type="continuationSeparator" w:id="0">
    <w:p w:rsidR="00D4680F" w:rsidRDefault="00D4680F" w:rsidP="0069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4B" w:rsidRPr="0069774B" w:rsidRDefault="0069774B">
    <w:pPr>
      <w:pStyle w:val="Pta"/>
      <w:jc w:val="right"/>
      <w:rPr>
        <w:sz w:val="20"/>
        <w:szCs w:val="20"/>
      </w:rPr>
    </w:pPr>
  </w:p>
  <w:p w:rsidR="0069774B" w:rsidRDefault="006977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0F" w:rsidRDefault="00D4680F" w:rsidP="0069774B">
      <w:pPr>
        <w:spacing w:after="0" w:line="240" w:lineRule="auto"/>
      </w:pPr>
      <w:r>
        <w:separator/>
      </w:r>
    </w:p>
  </w:footnote>
  <w:footnote w:type="continuationSeparator" w:id="0">
    <w:p w:rsidR="00D4680F" w:rsidRDefault="00D4680F" w:rsidP="0069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E8"/>
    <w:multiLevelType w:val="hybridMultilevel"/>
    <w:tmpl w:val="28826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0F0D"/>
    <w:multiLevelType w:val="hybridMultilevel"/>
    <w:tmpl w:val="73064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3068"/>
    <w:multiLevelType w:val="hybridMultilevel"/>
    <w:tmpl w:val="5E8A6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628"/>
    <w:multiLevelType w:val="hybridMultilevel"/>
    <w:tmpl w:val="5BC03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C77"/>
    <w:multiLevelType w:val="hybridMultilevel"/>
    <w:tmpl w:val="2F4AAC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3A3"/>
    <w:multiLevelType w:val="hybridMultilevel"/>
    <w:tmpl w:val="5BC03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67BF"/>
    <w:multiLevelType w:val="multilevel"/>
    <w:tmpl w:val="902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D5594"/>
    <w:multiLevelType w:val="hybridMultilevel"/>
    <w:tmpl w:val="A9A49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836DB"/>
    <w:multiLevelType w:val="hybridMultilevel"/>
    <w:tmpl w:val="5E18272A"/>
    <w:lvl w:ilvl="0" w:tplc="BD36736C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62265"/>
    <w:multiLevelType w:val="hybridMultilevel"/>
    <w:tmpl w:val="73064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9"/>
    <w:rsid w:val="00003407"/>
    <w:rsid w:val="0004333B"/>
    <w:rsid w:val="00060BCF"/>
    <w:rsid w:val="00071707"/>
    <w:rsid w:val="000B3B1C"/>
    <w:rsid w:val="001042B3"/>
    <w:rsid w:val="0011560B"/>
    <w:rsid w:val="0012704B"/>
    <w:rsid w:val="00133F46"/>
    <w:rsid w:val="001454D1"/>
    <w:rsid w:val="001605F1"/>
    <w:rsid w:val="00174826"/>
    <w:rsid w:val="001B0099"/>
    <w:rsid w:val="001D5811"/>
    <w:rsid w:val="001F0AB7"/>
    <w:rsid w:val="00293547"/>
    <w:rsid w:val="00302F69"/>
    <w:rsid w:val="00304EA4"/>
    <w:rsid w:val="00312FEE"/>
    <w:rsid w:val="00334559"/>
    <w:rsid w:val="00363564"/>
    <w:rsid w:val="003F39D4"/>
    <w:rsid w:val="0044014D"/>
    <w:rsid w:val="00472FB2"/>
    <w:rsid w:val="004C02C9"/>
    <w:rsid w:val="004C300D"/>
    <w:rsid w:val="004D18DB"/>
    <w:rsid w:val="00503C3E"/>
    <w:rsid w:val="005354EE"/>
    <w:rsid w:val="00547C9D"/>
    <w:rsid w:val="00561458"/>
    <w:rsid w:val="005B1B8B"/>
    <w:rsid w:val="005B60FE"/>
    <w:rsid w:val="005E0392"/>
    <w:rsid w:val="005E30F7"/>
    <w:rsid w:val="005F1501"/>
    <w:rsid w:val="00617FB8"/>
    <w:rsid w:val="00642AD9"/>
    <w:rsid w:val="00682A60"/>
    <w:rsid w:val="0069774B"/>
    <w:rsid w:val="006F1275"/>
    <w:rsid w:val="00707975"/>
    <w:rsid w:val="00773318"/>
    <w:rsid w:val="007B37EC"/>
    <w:rsid w:val="007B5B0C"/>
    <w:rsid w:val="007D7740"/>
    <w:rsid w:val="00813DAA"/>
    <w:rsid w:val="00814529"/>
    <w:rsid w:val="00827268"/>
    <w:rsid w:val="008B03D0"/>
    <w:rsid w:val="00926A6B"/>
    <w:rsid w:val="009A22C1"/>
    <w:rsid w:val="00A00E14"/>
    <w:rsid w:val="00A07C9B"/>
    <w:rsid w:val="00A11149"/>
    <w:rsid w:val="00A276BD"/>
    <w:rsid w:val="00A46FED"/>
    <w:rsid w:val="00AE39E4"/>
    <w:rsid w:val="00AE4D53"/>
    <w:rsid w:val="00B0278A"/>
    <w:rsid w:val="00B200D7"/>
    <w:rsid w:val="00B95444"/>
    <w:rsid w:val="00BB754F"/>
    <w:rsid w:val="00BF5D21"/>
    <w:rsid w:val="00C016A3"/>
    <w:rsid w:val="00C33A7A"/>
    <w:rsid w:val="00C905CB"/>
    <w:rsid w:val="00CA042C"/>
    <w:rsid w:val="00D31CE8"/>
    <w:rsid w:val="00D44386"/>
    <w:rsid w:val="00D4680F"/>
    <w:rsid w:val="00D552B6"/>
    <w:rsid w:val="00D71E3D"/>
    <w:rsid w:val="00D73717"/>
    <w:rsid w:val="00E53612"/>
    <w:rsid w:val="00E6181C"/>
    <w:rsid w:val="00EA1ADB"/>
    <w:rsid w:val="00EB0432"/>
    <w:rsid w:val="00EC0E17"/>
    <w:rsid w:val="00ED0BC5"/>
    <w:rsid w:val="00EE0788"/>
    <w:rsid w:val="00F03046"/>
    <w:rsid w:val="00F32B81"/>
    <w:rsid w:val="00F831E7"/>
    <w:rsid w:val="00F84B37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2AD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42AD9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6145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1458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6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774B"/>
  </w:style>
  <w:style w:type="paragraph" w:styleId="Pta">
    <w:name w:val="footer"/>
    <w:basedOn w:val="Normlny"/>
    <w:link w:val="PtaChar"/>
    <w:uiPriority w:val="99"/>
    <w:unhideWhenUsed/>
    <w:rsid w:val="006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774B"/>
  </w:style>
  <w:style w:type="character" w:customStyle="1" w:styleId="TextpoznmkypodiarouChar1">
    <w:name w:val="Text poznámky pod čiarou Char1"/>
    <w:aliases w:val="Text poznámky pod èiarou 007 Char,_Poznámka pod èiarou Char Char"/>
    <w:basedOn w:val="Predvolenpsmoodseku"/>
    <w:link w:val="Textpoznmkypodiarou"/>
    <w:semiHidden/>
    <w:locked/>
    <w:rsid w:val="00E53612"/>
    <w:rPr>
      <w:rFonts w:ascii="Arial" w:hAnsi="Arial" w:cs="Arial"/>
      <w:spacing w:val="-5"/>
    </w:rPr>
  </w:style>
  <w:style w:type="paragraph" w:styleId="Textpoznmkypodiarou">
    <w:name w:val="footnote text"/>
    <w:aliases w:val="Text poznámky pod èiarou 007,_Poznámka pod èiarou Char"/>
    <w:basedOn w:val="Normlny"/>
    <w:link w:val="TextpoznmkypodiarouChar1"/>
    <w:semiHidden/>
    <w:unhideWhenUsed/>
    <w:rsid w:val="00E53612"/>
    <w:pPr>
      <w:spacing w:after="0" w:line="200" w:lineRule="atLeast"/>
    </w:pPr>
    <w:rPr>
      <w:rFonts w:ascii="Arial" w:hAnsi="Arial" w:cs="Arial"/>
      <w:spacing w:val="-5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E53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61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2AD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42AD9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6145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1458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6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774B"/>
  </w:style>
  <w:style w:type="paragraph" w:styleId="Pta">
    <w:name w:val="footer"/>
    <w:basedOn w:val="Normlny"/>
    <w:link w:val="PtaChar"/>
    <w:uiPriority w:val="99"/>
    <w:unhideWhenUsed/>
    <w:rsid w:val="006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774B"/>
  </w:style>
  <w:style w:type="character" w:customStyle="1" w:styleId="TextpoznmkypodiarouChar1">
    <w:name w:val="Text poznámky pod čiarou Char1"/>
    <w:aliases w:val="Text poznámky pod èiarou 007 Char,_Poznámka pod èiarou Char Char"/>
    <w:basedOn w:val="Predvolenpsmoodseku"/>
    <w:link w:val="Textpoznmkypodiarou"/>
    <w:semiHidden/>
    <w:locked/>
    <w:rsid w:val="00E53612"/>
    <w:rPr>
      <w:rFonts w:ascii="Arial" w:hAnsi="Arial" w:cs="Arial"/>
      <w:spacing w:val="-5"/>
    </w:rPr>
  </w:style>
  <w:style w:type="paragraph" w:styleId="Textpoznmkypodiarou">
    <w:name w:val="footnote text"/>
    <w:aliases w:val="Text poznámky pod èiarou 007,_Poznámka pod èiarou Char"/>
    <w:basedOn w:val="Normlny"/>
    <w:link w:val="TextpoznmkypodiarouChar1"/>
    <w:semiHidden/>
    <w:unhideWhenUsed/>
    <w:rsid w:val="00E53612"/>
    <w:pPr>
      <w:spacing w:after="0" w:line="200" w:lineRule="atLeast"/>
    </w:pPr>
    <w:rPr>
      <w:rFonts w:ascii="Arial" w:hAnsi="Arial" w:cs="Arial"/>
      <w:spacing w:val="-5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E53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61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p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p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FCC5-B163-4E52-BE6D-173683FB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Hlatky Alexander</dc:creator>
  <cp:keywords/>
  <dc:description/>
  <cp:lastModifiedBy>miklas</cp:lastModifiedBy>
  <cp:revision>59</cp:revision>
  <cp:lastPrinted>2014-08-22T08:41:00Z</cp:lastPrinted>
  <dcterms:created xsi:type="dcterms:W3CDTF">2014-08-04T11:24:00Z</dcterms:created>
  <dcterms:modified xsi:type="dcterms:W3CDTF">2014-08-22T09:40:00Z</dcterms:modified>
</cp:coreProperties>
</file>